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B784" w14:textId="77777777" w:rsidR="007B7BAC" w:rsidRDefault="003A2FB6" w:rsidP="008605BD">
      <w:pPr>
        <w:shd w:val="clear" w:color="auto" w:fill="17365D" w:themeFill="text2" w:themeFillShade="BF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A2FB6">
        <w:rPr>
          <w:rFonts w:ascii="Arial" w:hAnsi="Arial" w:cs="Arial"/>
          <w:b/>
          <w:sz w:val="40"/>
          <w:szCs w:val="40"/>
        </w:rPr>
        <w:t>HARROW COUNCIL</w:t>
      </w:r>
      <w:r w:rsidR="00AF4487">
        <w:rPr>
          <w:rFonts w:ascii="Arial" w:hAnsi="Arial" w:cs="Arial"/>
          <w:b/>
          <w:sz w:val="40"/>
          <w:szCs w:val="40"/>
        </w:rPr>
        <w:t xml:space="preserve">                                        Appendix 1      </w:t>
      </w:r>
    </w:p>
    <w:p w14:paraId="76DCFA3F" w14:textId="77777777" w:rsidR="003A2FB6" w:rsidRDefault="003A2FB6" w:rsidP="00686AAC">
      <w:pPr>
        <w:shd w:val="clear" w:color="auto" w:fill="17365D" w:themeFill="text2" w:themeFillShade="BF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Internal Audit </w:t>
      </w:r>
      <w:r w:rsidR="00B45E77">
        <w:rPr>
          <w:rFonts w:ascii="Arial" w:hAnsi="Arial" w:cs="Arial"/>
          <w:b/>
          <w:sz w:val="40"/>
          <w:szCs w:val="40"/>
        </w:rPr>
        <w:t>Mid-</w:t>
      </w:r>
      <w:r w:rsidR="00686AAC">
        <w:rPr>
          <w:rFonts w:ascii="Arial" w:hAnsi="Arial" w:cs="Arial"/>
          <w:b/>
          <w:sz w:val="40"/>
          <w:szCs w:val="40"/>
        </w:rPr>
        <w:t>Year</w:t>
      </w:r>
      <w:r w:rsidR="00B45E7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Report</w:t>
      </w:r>
      <w:r w:rsidR="003A3DFF">
        <w:rPr>
          <w:rFonts w:ascii="Arial" w:hAnsi="Arial" w:cs="Arial"/>
          <w:b/>
          <w:sz w:val="40"/>
          <w:szCs w:val="40"/>
        </w:rPr>
        <w:t xml:space="preserve"> </w:t>
      </w:r>
      <w:r w:rsidR="00E00D57">
        <w:rPr>
          <w:rFonts w:ascii="Arial" w:hAnsi="Arial" w:cs="Arial"/>
          <w:b/>
          <w:sz w:val="40"/>
          <w:szCs w:val="40"/>
        </w:rPr>
        <w:t>and Quarter 3 Update</w:t>
      </w:r>
    </w:p>
    <w:p w14:paraId="1679450A" w14:textId="77777777" w:rsidR="003A2FB6" w:rsidRDefault="00B45E77" w:rsidP="00686AAC">
      <w:pPr>
        <w:shd w:val="clear" w:color="auto" w:fill="17365D" w:themeFill="text2" w:themeFillShade="BF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1F4C5B">
        <w:rPr>
          <w:rFonts w:ascii="Arial" w:hAnsi="Arial" w:cs="Arial"/>
          <w:b/>
          <w:sz w:val="40"/>
          <w:szCs w:val="40"/>
        </w:rPr>
        <w:t>20/21</w:t>
      </w:r>
      <w:r w:rsidR="003A2FB6">
        <w:rPr>
          <w:rFonts w:ascii="Arial" w:hAnsi="Arial" w:cs="Arial"/>
          <w:b/>
          <w:sz w:val="40"/>
          <w:szCs w:val="40"/>
        </w:rPr>
        <w:br/>
      </w:r>
    </w:p>
    <w:p w14:paraId="455A57BD" w14:textId="77777777" w:rsidR="0067101C" w:rsidRDefault="0067101C">
      <w:pPr>
        <w:rPr>
          <w:rFonts w:ascii="Arial" w:hAnsi="Arial" w:cs="Arial"/>
          <w:b/>
          <w:sz w:val="40"/>
          <w:szCs w:val="40"/>
        </w:rPr>
      </w:pPr>
    </w:p>
    <w:p w14:paraId="35E4D5F6" w14:textId="77777777" w:rsidR="0067101C" w:rsidRDefault="0067101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CONTENTS:</w:t>
      </w:r>
    </w:p>
    <w:p w14:paraId="26F11237" w14:textId="77777777" w:rsidR="00686AAC" w:rsidRDefault="00686AA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Introduction</w:t>
      </w:r>
    </w:p>
    <w:p w14:paraId="09548547" w14:textId="77777777" w:rsidR="00686AAC" w:rsidRDefault="00686AA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Head of Internal Audit Opinion</w:t>
      </w:r>
    </w:p>
    <w:p w14:paraId="0A89983D" w14:textId="77777777" w:rsidR="00FA16B5" w:rsidRDefault="00FA16B5" w:rsidP="00FA16B5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FA16B5">
        <w:rPr>
          <w:rFonts w:ascii="Arial" w:hAnsi="Arial" w:cs="Arial"/>
          <w:sz w:val="32"/>
          <w:szCs w:val="32"/>
        </w:rPr>
        <w:t>Key Factors at Mid-Year for the 20</w:t>
      </w:r>
      <w:r w:rsidR="001F4C5B">
        <w:rPr>
          <w:rFonts w:ascii="Arial" w:hAnsi="Arial" w:cs="Arial"/>
          <w:sz w:val="32"/>
          <w:szCs w:val="32"/>
        </w:rPr>
        <w:t>20/21</w:t>
      </w:r>
      <w:r w:rsidRPr="00FA16B5">
        <w:rPr>
          <w:rFonts w:ascii="Arial" w:hAnsi="Arial" w:cs="Arial"/>
          <w:sz w:val="32"/>
          <w:szCs w:val="32"/>
        </w:rPr>
        <w:t xml:space="preserve"> Opinion</w:t>
      </w:r>
    </w:p>
    <w:p w14:paraId="5BA20C6A" w14:textId="77777777" w:rsidR="00FA16B5" w:rsidRPr="00FA16B5" w:rsidRDefault="00FA16B5" w:rsidP="00FA16B5">
      <w:pPr>
        <w:rPr>
          <w:rFonts w:ascii="Arial" w:hAnsi="Arial" w:cs="Arial"/>
          <w:sz w:val="32"/>
          <w:szCs w:val="32"/>
        </w:rPr>
      </w:pPr>
    </w:p>
    <w:p w14:paraId="72C31772" w14:textId="77777777" w:rsidR="00593142" w:rsidRDefault="0067101C" w:rsidP="0059314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Summary of </w:t>
      </w:r>
      <w:r w:rsidR="008605BD">
        <w:rPr>
          <w:rFonts w:ascii="Arial" w:hAnsi="Arial" w:cs="Arial"/>
          <w:b/>
          <w:sz w:val="40"/>
          <w:szCs w:val="40"/>
        </w:rPr>
        <w:t>Outputs</w:t>
      </w:r>
      <w:r w:rsidR="00FA16B5">
        <w:rPr>
          <w:rFonts w:ascii="Arial" w:hAnsi="Arial" w:cs="Arial"/>
          <w:b/>
          <w:sz w:val="40"/>
          <w:szCs w:val="40"/>
        </w:rPr>
        <w:t xml:space="preserve"> </w:t>
      </w:r>
    </w:p>
    <w:p w14:paraId="4167618E" w14:textId="77777777" w:rsidR="00593142" w:rsidRPr="00593142" w:rsidRDefault="00593142" w:rsidP="00593142">
      <w:pPr>
        <w:pStyle w:val="ListParagraph"/>
        <w:numPr>
          <w:ilvl w:val="0"/>
          <w:numId w:val="18"/>
        </w:numPr>
        <w:rPr>
          <w:rFonts w:ascii="Arial" w:eastAsia="+mj-ea" w:hAnsi="Arial" w:cs="+mj-cs"/>
          <w:bCs/>
          <w:iCs/>
          <w:color w:val="002060"/>
          <w:kern w:val="24"/>
          <w:sz w:val="32"/>
          <w:szCs w:val="32"/>
        </w:rPr>
      </w:pPr>
      <w:r w:rsidRPr="00593142">
        <w:rPr>
          <w:rFonts w:ascii="Arial" w:hAnsi="Arial" w:cs="Arial"/>
          <w:sz w:val="32"/>
          <w:szCs w:val="32"/>
        </w:rPr>
        <w:t>Key Outputs</w:t>
      </w:r>
      <w:r>
        <w:rPr>
          <w:rFonts w:ascii="Arial" w:hAnsi="Arial" w:cs="Arial"/>
          <w:sz w:val="32"/>
          <w:szCs w:val="32"/>
        </w:rPr>
        <w:t xml:space="preserve"> at Mid-year</w:t>
      </w:r>
      <w:r w:rsidRPr="00593142">
        <w:rPr>
          <w:rFonts w:ascii="Arial" w:hAnsi="Arial" w:cs="Arial"/>
          <w:sz w:val="32"/>
          <w:szCs w:val="32"/>
        </w:rPr>
        <w:t xml:space="preserve"> </w:t>
      </w:r>
    </w:p>
    <w:p w14:paraId="36166937" w14:textId="77777777" w:rsidR="00593142" w:rsidRDefault="00593142" w:rsidP="00593142">
      <w:pPr>
        <w:pStyle w:val="ListParagraph"/>
        <w:numPr>
          <w:ilvl w:val="0"/>
          <w:numId w:val="18"/>
        </w:numPr>
        <w:rPr>
          <w:rFonts w:ascii="Arial" w:eastAsia="+mn-ea" w:hAnsi="Arial" w:cs="Arial"/>
          <w:bCs/>
          <w:iCs/>
          <w:kern w:val="24"/>
          <w:sz w:val="32"/>
          <w:szCs w:val="32"/>
        </w:rPr>
      </w:pPr>
      <w:r w:rsidRPr="00593142">
        <w:rPr>
          <w:rFonts w:ascii="Arial" w:eastAsia="+mj-ea" w:hAnsi="Arial" w:cs="+mj-cs"/>
          <w:bCs/>
          <w:iCs/>
          <w:kern w:val="24"/>
          <w:sz w:val="32"/>
          <w:szCs w:val="32"/>
        </w:rPr>
        <w:t>Progress against the 20</w:t>
      </w:r>
      <w:r w:rsidR="001F4C5B">
        <w:rPr>
          <w:rFonts w:ascii="Arial" w:eastAsia="+mj-ea" w:hAnsi="Arial" w:cs="+mj-cs"/>
          <w:bCs/>
          <w:iCs/>
          <w:kern w:val="24"/>
          <w:sz w:val="32"/>
          <w:szCs w:val="32"/>
        </w:rPr>
        <w:t>20/21</w:t>
      </w:r>
      <w:r w:rsidRPr="00593142">
        <w:rPr>
          <w:rFonts w:ascii="Arial" w:eastAsia="+mj-ea" w:hAnsi="Arial" w:cs="+mj-cs"/>
          <w:bCs/>
          <w:iCs/>
          <w:kern w:val="24"/>
          <w:sz w:val="32"/>
          <w:szCs w:val="32"/>
        </w:rPr>
        <w:t xml:space="preserve"> Internal Audit Plan at Mid-Year and Q3 including</w:t>
      </w:r>
      <w:r w:rsidRPr="00593142">
        <w:rPr>
          <w:rFonts w:ascii="Arial" w:hAnsi="Arial" w:cs="Arial"/>
          <w:sz w:val="32"/>
          <w:szCs w:val="32"/>
        </w:rPr>
        <w:t xml:space="preserve"> Assurance Results</w:t>
      </w:r>
      <w:r w:rsidRPr="00593142">
        <w:rPr>
          <w:rFonts w:ascii="Arial" w:eastAsia="+mn-ea" w:hAnsi="Arial" w:cs="Arial"/>
          <w:bCs/>
          <w:iCs/>
          <w:kern w:val="24"/>
          <w:sz w:val="32"/>
          <w:szCs w:val="32"/>
        </w:rPr>
        <w:t xml:space="preserve"> of Individual Assignments </w:t>
      </w:r>
    </w:p>
    <w:p w14:paraId="14CF3AA6" w14:textId="77777777" w:rsidR="00593142" w:rsidRPr="00593142" w:rsidRDefault="00593142" w:rsidP="00593142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593142">
        <w:rPr>
          <w:rFonts w:ascii="Arial" w:hAnsi="Arial" w:cs="Arial"/>
          <w:sz w:val="32"/>
          <w:szCs w:val="32"/>
        </w:rPr>
        <w:t>Follow Up Work Conducted/Due</w:t>
      </w:r>
    </w:p>
    <w:p w14:paraId="6D09B9B5" w14:textId="77777777" w:rsidR="00593142" w:rsidRDefault="00593142">
      <w:pPr>
        <w:rPr>
          <w:rFonts w:ascii="Arial" w:hAnsi="Arial" w:cs="Arial"/>
          <w:b/>
          <w:sz w:val="40"/>
          <w:szCs w:val="40"/>
        </w:rPr>
      </w:pPr>
    </w:p>
    <w:p w14:paraId="292658EE" w14:textId="77777777" w:rsidR="00617135" w:rsidRDefault="008F417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Performance of Internal Audit</w:t>
      </w:r>
    </w:p>
    <w:p w14:paraId="3F2E65D2" w14:textId="77777777" w:rsidR="0067101C" w:rsidRDefault="00B9041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Appendices: </w:t>
      </w:r>
    </w:p>
    <w:p w14:paraId="72050E71" w14:textId="77777777" w:rsidR="004E6157" w:rsidRDefault="006710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F417D" w:rsidRPr="004E6157">
        <w:rPr>
          <w:rFonts w:ascii="Arial" w:hAnsi="Arial" w:cs="Arial"/>
          <w:sz w:val="32"/>
          <w:szCs w:val="32"/>
        </w:rPr>
        <w:t>1</w:t>
      </w:r>
      <w:r w:rsidRPr="004E6157">
        <w:rPr>
          <w:rFonts w:ascii="Arial" w:hAnsi="Arial" w:cs="Arial"/>
          <w:sz w:val="32"/>
          <w:szCs w:val="32"/>
        </w:rPr>
        <w:t xml:space="preserve">. </w:t>
      </w:r>
      <w:r w:rsidR="008F417D" w:rsidRPr="004E6157">
        <w:rPr>
          <w:rFonts w:ascii="Arial" w:hAnsi="Arial" w:cs="Arial"/>
          <w:sz w:val="32"/>
          <w:szCs w:val="32"/>
        </w:rPr>
        <w:t>Audit Report Assurance Levels</w:t>
      </w:r>
    </w:p>
    <w:p w14:paraId="4707E722" w14:textId="77777777" w:rsidR="004E6157" w:rsidRDefault="004E615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53AD45A" w14:textId="77777777" w:rsidR="0067101C" w:rsidRPr="00686AAC" w:rsidRDefault="0067101C" w:rsidP="007244A4">
      <w:pPr>
        <w:shd w:val="clear" w:color="auto" w:fill="17365D" w:themeFill="text2" w:themeFillShade="BF"/>
        <w:spacing w:after="0" w:line="240" w:lineRule="auto"/>
        <w:ind w:left="-142"/>
        <w:rPr>
          <w:rFonts w:ascii="Arial" w:hAnsi="Arial" w:cs="Arial"/>
          <w:b/>
          <w:sz w:val="40"/>
          <w:szCs w:val="40"/>
        </w:rPr>
      </w:pPr>
      <w:r w:rsidRPr="00686AAC">
        <w:rPr>
          <w:rFonts w:ascii="Arial" w:hAnsi="Arial" w:cs="Arial"/>
          <w:b/>
          <w:sz w:val="40"/>
          <w:szCs w:val="40"/>
        </w:rPr>
        <w:lastRenderedPageBreak/>
        <w:t>Introduction</w:t>
      </w:r>
    </w:p>
    <w:p w14:paraId="0CF141BD" w14:textId="77777777" w:rsidR="005C125A" w:rsidRDefault="005C125A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739640" w14:textId="77777777" w:rsidR="0067101C" w:rsidRPr="00F44CE8" w:rsidRDefault="0067101C" w:rsidP="005C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CE8">
        <w:rPr>
          <w:rFonts w:ascii="Arial" w:hAnsi="Arial" w:cs="Arial"/>
          <w:sz w:val="24"/>
          <w:szCs w:val="24"/>
          <w:lang w:val="en-US"/>
        </w:rPr>
        <w:t xml:space="preserve">This report outlines the internal audit work carried out </w:t>
      </w:r>
      <w:r w:rsidR="00B45E77" w:rsidRPr="00F44CE8">
        <w:rPr>
          <w:rFonts w:ascii="Arial" w:hAnsi="Arial" w:cs="Arial"/>
          <w:sz w:val="24"/>
          <w:szCs w:val="24"/>
          <w:lang w:val="en-US"/>
        </w:rPr>
        <w:t xml:space="preserve">in the first half of the </w:t>
      </w:r>
      <w:r w:rsidRPr="00F44CE8">
        <w:rPr>
          <w:rFonts w:ascii="Arial" w:hAnsi="Arial" w:cs="Arial"/>
          <w:sz w:val="24"/>
          <w:szCs w:val="24"/>
          <w:lang w:val="en-US"/>
        </w:rPr>
        <w:t>year end</w:t>
      </w:r>
      <w:r w:rsidR="003A3DFF" w:rsidRPr="00F44CE8">
        <w:rPr>
          <w:rFonts w:ascii="Arial" w:hAnsi="Arial" w:cs="Arial"/>
          <w:sz w:val="24"/>
          <w:szCs w:val="24"/>
          <w:lang w:val="en-US"/>
        </w:rPr>
        <w:t>ing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 31/03/</w:t>
      </w:r>
      <w:r w:rsidR="00B45E77" w:rsidRPr="00F44CE8">
        <w:rPr>
          <w:rFonts w:ascii="Arial" w:hAnsi="Arial" w:cs="Arial"/>
          <w:sz w:val="24"/>
          <w:szCs w:val="24"/>
          <w:lang w:val="en-US"/>
        </w:rPr>
        <w:t>2</w:t>
      </w:r>
      <w:r w:rsidR="001F4C5B">
        <w:rPr>
          <w:rFonts w:ascii="Arial" w:hAnsi="Arial" w:cs="Arial"/>
          <w:sz w:val="24"/>
          <w:szCs w:val="24"/>
          <w:lang w:val="en-US"/>
        </w:rPr>
        <w:t>1</w:t>
      </w:r>
      <w:r w:rsidR="003A3DFF" w:rsidRPr="00F44CE8">
        <w:rPr>
          <w:rFonts w:ascii="Arial" w:hAnsi="Arial" w:cs="Arial"/>
          <w:sz w:val="24"/>
          <w:szCs w:val="24"/>
          <w:lang w:val="en-US"/>
        </w:rPr>
        <w:t xml:space="preserve"> i.e. quarters 1 and 2 plus, given the timing of the report, an update of work undertaken in quarter 3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357DDA1" w14:textId="77777777" w:rsidR="003A3DFF" w:rsidRPr="00F44CE8" w:rsidRDefault="003A3DFF" w:rsidP="005C125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CDE5528" w14:textId="69DD17A5" w:rsidR="0067101C" w:rsidRPr="00441376" w:rsidRDefault="0067101C" w:rsidP="005C125A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44CE8">
        <w:rPr>
          <w:rFonts w:ascii="Arial" w:hAnsi="Arial" w:cs="Arial"/>
          <w:sz w:val="24"/>
          <w:szCs w:val="24"/>
          <w:lang w:val="en-US"/>
        </w:rPr>
        <w:t>The Internal Audit Plan 20</w:t>
      </w:r>
      <w:r w:rsidR="001F4C5B">
        <w:rPr>
          <w:rFonts w:ascii="Arial" w:hAnsi="Arial" w:cs="Arial"/>
          <w:sz w:val="24"/>
          <w:szCs w:val="24"/>
          <w:lang w:val="en-US"/>
        </w:rPr>
        <w:t>20/21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 was based on a level of internal audit input of </w:t>
      </w:r>
      <w:r w:rsidR="003F0175" w:rsidRPr="003F0175">
        <w:rPr>
          <w:rFonts w:ascii="Arial" w:hAnsi="Arial" w:cs="Arial"/>
          <w:sz w:val="24"/>
          <w:szCs w:val="24"/>
          <w:lang w:val="en-US"/>
        </w:rPr>
        <w:t>565</w:t>
      </w:r>
      <w:r w:rsidRPr="003F0175">
        <w:rPr>
          <w:rFonts w:ascii="Arial" w:hAnsi="Arial" w:cs="Arial"/>
          <w:sz w:val="24"/>
          <w:szCs w:val="24"/>
          <w:lang w:val="en-US"/>
        </w:rPr>
        <w:t xml:space="preserve"> </w:t>
      </w:r>
      <w:r w:rsidRPr="00F44CE8">
        <w:rPr>
          <w:rFonts w:ascii="Arial" w:hAnsi="Arial" w:cs="Arial"/>
          <w:sz w:val="24"/>
          <w:szCs w:val="24"/>
          <w:lang w:val="en-US"/>
        </w:rPr>
        <w:t>days</w:t>
      </w:r>
      <w:r w:rsidR="00B45E77" w:rsidRPr="00F44CE8">
        <w:rPr>
          <w:rFonts w:ascii="Arial" w:hAnsi="Arial" w:cs="Arial"/>
          <w:sz w:val="24"/>
          <w:szCs w:val="24"/>
          <w:lang w:val="en-US"/>
        </w:rPr>
        <w:t xml:space="preserve"> and was agreed by the Governance, Audit, Risk Management and Standards Committee on </w:t>
      </w:r>
      <w:r w:rsidR="003F0175" w:rsidRPr="003F0175">
        <w:rPr>
          <w:rFonts w:ascii="Arial" w:hAnsi="Arial" w:cs="Arial"/>
          <w:sz w:val="24"/>
          <w:szCs w:val="24"/>
          <w:lang w:val="en-US"/>
        </w:rPr>
        <w:t>22/10/20</w:t>
      </w:r>
      <w:r w:rsidR="00B45E77" w:rsidRPr="003F0175">
        <w:rPr>
          <w:rFonts w:ascii="Arial" w:hAnsi="Arial" w:cs="Arial"/>
          <w:sz w:val="24"/>
          <w:szCs w:val="24"/>
          <w:lang w:val="en-US"/>
        </w:rPr>
        <w:t xml:space="preserve">.  </w:t>
      </w:r>
      <w:r w:rsidR="00B45E77" w:rsidRPr="00F44CE8">
        <w:rPr>
          <w:rFonts w:ascii="Arial" w:hAnsi="Arial" w:cs="Arial"/>
          <w:sz w:val="24"/>
          <w:szCs w:val="24"/>
          <w:lang w:val="en-US"/>
        </w:rPr>
        <w:t xml:space="preserve">At the mid-year </w:t>
      </w:r>
      <w:r w:rsidR="00B45E77" w:rsidRPr="00FA16B5">
        <w:rPr>
          <w:rFonts w:ascii="Arial" w:hAnsi="Arial" w:cs="Arial"/>
          <w:sz w:val="24"/>
          <w:szCs w:val="24"/>
          <w:lang w:val="en-US"/>
        </w:rPr>
        <w:t xml:space="preserve">point </w:t>
      </w:r>
      <w:r w:rsidR="003F0175" w:rsidRPr="00BD20FF">
        <w:rPr>
          <w:rFonts w:ascii="Arial" w:hAnsi="Arial" w:cs="Arial"/>
          <w:sz w:val="24"/>
          <w:szCs w:val="24"/>
          <w:lang w:val="en-US"/>
        </w:rPr>
        <w:t>2</w:t>
      </w:r>
      <w:r w:rsidR="00BD20FF" w:rsidRPr="00BD20FF">
        <w:rPr>
          <w:rFonts w:ascii="Arial" w:hAnsi="Arial" w:cs="Arial"/>
          <w:sz w:val="24"/>
          <w:szCs w:val="24"/>
          <w:lang w:val="en-US"/>
        </w:rPr>
        <w:t>6</w:t>
      </w:r>
      <w:r w:rsidR="003F0175" w:rsidRPr="00BD20FF">
        <w:rPr>
          <w:rFonts w:ascii="Arial" w:hAnsi="Arial" w:cs="Arial"/>
          <w:sz w:val="24"/>
          <w:szCs w:val="24"/>
          <w:lang w:val="en-US"/>
        </w:rPr>
        <w:t xml:space="preserve">2 </w:t>
      </w:r>
      <w:r w:rsidR="00B45E77" w:rsidRPr="00FA16B5">
        <w:rPr>
          <w:rFonts w:ascii="Arial" w:hAnsi="Arial" w:cs="Arial"/>
          <w:sz w:val="24"/>
          <w:szCs w:val="24"/>
          <w:lang w:val="en-US"/>
        </w:rPr>
        <w:t xml:space="preserve">audit </w:t>
      </w:r>
      <w:r w:rsidR="00B45E77" w:rsidRPr="00F44CE8">
        <w:rPr>
          <w:rFonts w:ascii="Arial" w:hAnsi="Arial" w:cs="Arial"/>
          <w:sz w:val="24"/>
          <w:szCs w:val="24"/>
          <w:lang w:val="en-US"/>
        </w:rPr>
        <w:t xml:space="preserve">days have been delivered </w:t>
      </w:r>
      <w:r w:rsidR="00B45E77" w:rsidRPr="00FA16B5">
        <w:rPr>
          <w:rFonts w:ascii="Arial" w:hAnsi="Arial" w:cs="Arial"/>
          <w:sz w:val="24"/>
          <w:szCs w:val="24"/>
          <w:lang w:val="en-US"/>
        </w:rPr>
        <w:t xml:space="preserve">and </w:t>
      </w:r>
      <w:r w:rsidR="000F73B2" w:rsidRPr="0092154E">
        <w:rPr>
          <w:rFonts w:ascii="Arial" w:hAnsi="Arial" w:cs="Arial"/>
          <w:sz w:val="24"/>
          <w:szCs w:val="24"/>
          <w:lang w:val="en-US"/>
        </w:rPr>
        <w:t>4</w:t>
      </w:r>
      <w:r w:rsidR="00B31A03" w:rsidRPr="0092154E">
        <w:rPr>
          <w:rFonts w:ascii="Arial" w:hAnsi="Arial" w:cs="Arial"/>
          <w:sz w:val="24"/>
          <w:szCs w:val="24"/>
          <w:lang w:val="en-US"/>
        </w:rPr>
        <w:t>6</w:t>
      </w:r>
      <w:r w:rsidR="00B45E77" w:rsidRPr="0092154E">
        <w:rPr>
          <w:rFonts w:ascii="Arial" w:hAnsi="Arial" w:cs="Arial"/>
          <w:sz w:val="24"/>
          <w:szCs w:val="24"/>
          <w:lang w:val="en-US"/>
        </w:rPr>
        <w:t xml:space="preserve">% </w:t>
      </w:r>
      <w:r w:rsidR="00B45E77" w:rsidRPr="00FA16B5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B45E77" w:rsidRPr="00F44CE8">
        <w:rPr>
          <w:rFonts w:ascii="Arial" w:hAnsi="Arial" w:cs="Arial"/>
          <w:sz w:val="24"/>
          <w:szCs w:val="24"/>
          <w:lang w:val="en-US"/>
        </w:rPr>
        <w:t xml:space="preserve">plan has been completed </w:t>
      </w:r>
      <w:r w:rsidR="00B45E77" w:rsidRPr="00176D8D">
        <w:rPr>
          <w:rFonts w:ascii="Arial" w:hAnsi="Arial" w:cs="Arial"/>
          <w:sz w:val="24"/>
          <w:szCs w:val="24"/>
          <w:lang w:val="en-US"/>
        </w:rPr>
        <w:t xml:space="preserve">with </w:t>
      </w:r>
      <w:r w:rsidR="00176D8D" w:rsidRPr="00176D8D">
        <w:rPr>
          <w:rFonts w:ascii="Arial" w:hAnsi="Arial" w:cs="Arial"/>
          <w:sz w:val="24"/>
          <w:szCs w:val="24"/>
          <w:lang w:val="en-US"/>
        </w:rPr>
        <w:t>2</w:t>
      </w:r>
      <w:r w:rsidR="00B45E77" w:rsidRPr="00176D8D">
        <w:rPr>
          <w:rFonts w:ascii="Arial" w:hAnsi="Arial" w:cs="Arial"/>
          <w:sz w:val="24"/>
          <w:szCs w:val="24"/>
          <w:lang w:val="en-US"/>
        </w:rPr>
        <w:t xml:space="preserve">% </w:t>
      </w:r>
      <w:r w:rsidR="00B45E77" w:rsidRPr="00FA16B5">
        <w:rPr>
          <w:rFonts w:ascii="Arial" w:hAnsi="Arial" w:cs="Arial"/>
          <w:sz w:val="24"/>
          <w:szCs w:val="24"/>
          <w:lang w:val="en-US"/>
        </w:rPr>
        <w:t>in progress</w:t>
      </w:r>
      <w:r w:rsidR="00B45E77" w:rsidRPr="00F44CE8">
        <w:rPr>
          <w:rFonts w:ascii="Arial" w:hAnsi="Arial" w:cs="Arial"/>
          <w:sz w:val="24"/>
          <w:szCs w:val="24"/>
          <w:lang w:val="en-US"/>
        </w:rPr>
        <w:t>.</w:t>
      </w:r>
      <w:r w:rsidR="00231182" w:rsidRPr="00F44CE8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2875E069" w14:textId="77777777" w:rsidR="00231182" w:rsidRPr="00441376" w:rsidRDefault="00231182" w:rsidP="005C125A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  <w:lang w:val="en-US"/>
        </w:rPr>
      </w:pPr>
    </w:p>
    <w:p w14:paraId="4D2EDFCE" w14:textId="77777777" w:rsidR="0067101C" w:rsidRPr="00F44CE8" w:rsidRDefault="0067101C" w:rsidP="005C125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4CE8">
        <w:rPr>
          <w:rFonts w:ascii="Arial" w:hAnsi="Arial" w:cs="Arial"/>
          <w:sz w:val="24"/>
          <w:szCs w:val="24"/>
          <w:lang w:val="en-US"/>
        </w:rPr>
        <w:t xml:space="preserve">Internal audit work </w:t>
      </w:r>
      <w:r w:rsidR="00D157D1" w:rsidRPr="00F44CE8">
        <w:rPr>
          <w:rFonts w:ascii="Arial" w:hAnsi="Arial" w:cs="Arial"/>
          <w:sz w:val="24"/>
          <w:szCs w:val="24"/>
          <w:lang w:val="en-US"/>
        </w:rPr>
        <w:t xml:space="preserve">has been </w:t>
      </w:r>
      <w:r w:rsidRPr="00F44CE8">
        <w:rPr>
          <w:rFonts w:ascii="Arial" w:hAnsi="Arial" w:cs="Arial"/>
          <w:sz w:val="24"/>
          <w:szCs w:val="24"/>
          <w:lang w:val="en-US"/>
        </w:rPr>
        <w:t>performed in conformance with the Public Sector Internal Audit Standards.</w:t>
      </w:r>
    </w:p>
    <w:p w14:paraId="1A4CBC80" w14:textId="77777777" w:rsidR="005C125A" w:rsidRDefault="005C125A" w:rsidP="005C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E84C1A" w14:textId="77777777" w:rsidR="00B90417" w:rsidRDefault="00B90417" w:rsidP="005C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C2D81" w14:textId="77777777" w:rsidR="0067101C" w:rsidRPr="00686AAC" w:rsidRDefault="0067101C" w:rsidP="007244A4">
      <w:pPr>
        <w:shd w:val="clear" w:color="auto" w:fill="17365D" w:themeFill="text2" w:themeFillShade="BF"/>
        <w:spacing w:after="0" w:line="240" w:lineRule="auto"/>
        <w:ind w:left="-142"/>
        <w:rPr>
          <w:rFonts w:ascii="Arial" w:hAnsi="Arial" w:cs="Arial"/>
          <w:b/>
          <w:bCs/>
          <w:iCs/>
          <w:sz w:val="40"/>
          <w:szCs w:val="40"/>
          <w:lang w:val="en-US"/>
        </w:rPr>
      </w:pPr>
      <w:r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 xml:space="preserve">Head of </w:t>
      </w:r>
      <w:r w:rsidR="004D6B0E"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>I</w:t>
      </w:r>
      <w:r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 xml:space="preserve">nternal </w:t>
      </w:r>
      <w:r w:rsidR="004D6B0E"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>A</w:t>
      </w:r>
      <w:r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 xml:space="preserve">udit </w:t>
      </w:r>
      <w:r w:rsidR="004D6B0E"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>O</w:t>
      </w:r>
      <w:r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>pinion</w:t>
      </w:r>
    </w:p>
    <w:p w14:paraId="3C2A8036" w14:textId="77777777" w:rsidR="005C125A" w:rsidRPr="004D6B0E" w:rsidRDefault="005C125A" w:rsidP="005C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562FF" w14:textId="77777777" w:rsidR="00BA2892" w:rsidRPr="00F44CE8" w:rsidRDefault="00D66AF4" w:rsidP="005C125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4CE8">
        <w:rPr>
          <w:rFonts w:ascii="Arial" w:hAnsi="Arial" w:cs="Arial"/>
          <w:sz w:val="24"/>
          <w:szCs w:val="24"/>
          <w:lang w:val="en-US"/>
        </w:rPr>
        <w:t>The aim of the internal audit plan is to ensure that s</w:t>
      </w:r>
      <w:r w:rsidR="0067101C" w:rsidRPr="00F44CE8">
        <w:rPr>
          <w:rFonts w:ascii="Arial" w:hAnsi="Arial" w:cs="Arial"/>
          <w:sz w:val="24"/>
          <w:szCs w:val="24"/>
          <w:lang w:val="en-US"/>
        </w:rPr>
        <w:t xml:space="preserve">ufficient internal audit work 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is </w:t>
      </w:r>
      <w:r w:rsidR="0067101C" w:rsidRPr="00F44CE8">
        <w:rPr>
          <w:rFonts w:ascii="Arial" w:hAnsi="Arial" w:cs="Arial"/>
          <w:sz w:val="24"/>
          <w:szCs w:val="24"/>
          <w:lang w:val="en-US"/>
        </w:rPr>
        <w:t xml:space="preserve">undertaken 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throughout the year </w:t>
      </w:r>
      <w:r w:rsidR="0067101C" w:rsidRPr="00F44CE8">
        <w:rPr>
          <w:rFonts w:ascii="Arial" w:hAnsi="Arial" w:cs="Arial"/>
          <w:sz w:val="24"/>
          <w:szCs w:val="24"/>
          <w:lang w:val="en-US"/>
        </w:rPr>
        <w:t xml:space="preserve">to allow an opinion to be given as to the adequacy and effectiveness of governance, risk management and </w:t>
      </w:r>
      <w:r w:rsidR="00B90417" w:rsidRPr="00F44CE8">
        <w:rPr>
          <w:rFonts w:ascii="Arial" w:hAnsi="Arial" w:cs="Arial"/>
          <w:sz w:val="24"/>
          <w:szCs w:val="24"/>
          <w:lang w:val="en-US"/>
        </w:rPr>
        <w:t xml:space="preserve">internal </w:t>
      </w:r>
      <w:r w:rsidR="0067101C" w:rsidRPr="00F44CE8">
        <w:rPr>
          <w:rFonts w:ascii="Arial" w:hAnsi="Arial" w:cs="Arial"/>
          <w:sz w:val="24"/>
          <w:szCs w:val="24"/>
          <w:lang w:val="en-US"/>
        </w:rPr>
        <w:t>control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 across the Council</w:t>
      </w:r>
      <w:r w:rsidR="0067101C" w:rsidRPr="00F44CE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933A023" w14:textId="77777777" w:rsidR="00BA2892" w:rsidRPr="00F44CE8" w:rsidRDefault="00BA2892" w:rsidP="005C125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C932DD7" w14:textId="77777777" w:rsidR="005C125A" w:rsidRPr="00F44CE8" w:rsidRDefault="00D157D1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CE8">
        <w:rPr>
          <w:rFonts w:ascii="Arial" w:hAnsi="Arial" w:cs="Arial"/>
          <w:sz w:val="24"/>
          <w:szCs w:val="24"/>
          <w:lang w:val="en-US"/>
        </w:rPr>
        <w:t>The level of progress against the plan at mid-year indicates that sufficient work will be undertaken to allow an opinion to be given at year-end.</w:t>
      </w:r>
    </w:p>
    <w:p w14:paraId="755263C0" w14:textId="77777777" w:rsidR="005C125A" w:rsidRDefault="005C125A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C9A400" w14:textId="77777777" w:rsidR="00B90417" w:rsidRDefault="00B9041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6A57986" w14:textId="77777777" w:rsidR="005C125A" w:rsidRPr="004E6157" w:rsidRDefault="000058F9" w:rsidP="007244A4">
      <w:pPr>
        <w:shd w:val="clear" w:color="auto" w:fill="17365D" w:themeFill="text2" w:themeFillShade="BF"/>
        <w:spacing w:after="0" w:line="240" w:lineRule="auto"/>
        <w:ind w:left="-142"/>
        <w:rPr>
          <w:rFonts w:ascii="Arial" w:hAnsi="Arial" w:cs="Arial"/>
          <w:sz w:val="32"/>
          <w:szCs w:val="32"/>
        </w:rPr>
      </w:pPr>
      <w:r w:rsidRPr="004E6157">
        <w:rPr>
          <w:rFonts w:ascii="Arial" w:hAnsi="Arial" w:cs="Arial"/>
          <w:sz w:val="32"/>
          <w:szCs w:val="32"/>
        </w:rPr>
        <w:t xml:space="preserve">Key Factors </w:t>
      </w:r>
      <w:r w:rsidR="00D157D1">
        <w:rPr>
          <w:rFonts w:ascii="Arial" w:hAnsi="Arial" w:cs="Arial"/>
          <w:sz w:val="32"/>
          <w:szCs w:val="32"/>
        </w:rPr>
        <w:t xml:space="preserve">at Mid-Year </w:t>
      </w:r>
      <w:r w:rsidRPr="004E6157">
        <w:rPr>
          <w:rFonts w:ascii="Arial" w:hAnsi="Arial" w:cs="Arial"/>
          <w:sz w:val="32"/>
          <w:szCs w:val="32"/>
        </w:rPr>
        <w:t>for the 20</w:t>
      </w:r>
      <w:r w:rsidR="001F4C5B">
        <w:rPr>
          <w:rFonts w:ascii="Arial" w:hAnsi="Arial" w:cs="Arial"/>
          <w:sz w:val="32"/>
          <w:szCs w:val="32"/>
        </w:rPr>
        <w:t>20/21</w:t>
      </w:r>
      <w:r w:rsidRPr="004E6157">
        <w:rPr>
          <w:rFonts w:ascii="Arial" w:hAnsi="Arial" w:cs="Arial"/>
          <w:sz w:val="32"/>
          <w:szCs w:val="32"/>
        </w:rPr>
        <w:t xml:space="preserve"> Opinion</w:t>
      </w:r>
    </w:p>
    <w:p w14:paraId="45340EAD" w14:textId="77777777" w:rsidR="005C125A" w:rsidRDefault="005C125A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23EC91" w14:textId="77777777" w:rsidR="005C125A" w:rsidRPr="00F44CE8" w:rsidRDefault="005C125A" w:rsidP="005C125A">
      <w:pPr>
        <w:pStyle w:val="NormalWeb"/>
        <w:spacing w:before="0" w:beforeAutospacing="0" w:after="80" w:afterAutospacing="0"/>
      </w:pPr>
      <w:r w:rsidRPr="00F44CE8">
        <w:rPr>
          <w:rFonts w:ascii="Arial" w:eastAsia="+mn-ea" w:hAnsi="Arial" w:cs="Arial"/>
          <w:kern w:val="24"/>
        </w:rPr>
        <w:t>The key factors that contributed to the opinion are summarised as follows:</w:t>
      </w:r>
    </w:p>
    <w:p w14:paraId="72378231" w14:textId="77777777" w:rsidR="00D22D05" w:rsidRPr="00FA16B5" w:rsidRDefault="00D22D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8A7408" w14:textId="690B57A4" w:rsidR="00D22D05" w:rsidRPr="00B31A03" w:rsidRDefault="00B31A03" w:rsidP="00D22D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31A03">
        <w:rPr>
          <w:rFonts w:ascii="Arial" w:hAnsi="Arial" w:cs="Arial"/>
        </w:rPr>
        <w:t>90</w:t>
      </w:r>
      <w:r w:rsidR="00346A5E" w:rsidRPr="00B31A03">
        <w:rPr>
          <w:rFonts w:ascii="Arial" w:hAnsi="Arial" w:cs="Arial"/>
        </w:rPr>
        <w:t xml:space="preserve">% </w:t>
      </w:r>
      <w:r w:rsidR="00D22D05" w:rsidRPr="00B31A03">
        <w:rPr>
          <w:rFonts w:ascii="Arial" w:hAnsi="Arial" w:cs="Arial"/>
        </w:rPr>
        <w:t xml:space="preserve">of assurance reviews undertaken </w:t>
      </w:r>
      <w:r w:rsidR="00D157D1" w:rsidRPr="00B31A03">
        <w:rPr>
          <w:rFonts w:ascii="Arial" w:hAnsi="Arial" w:cs="Arial"/>
        </w:rPr>
        <w:t>at mid-</w:t>
      </w:r>
      <w:r w:rsidR="00D157D1" w:rsidRPr="00701DE9">
        <w:rPr>
          <w:rFonts w:ascii="Arial" w:hAnsi="Arial" w:cs="Arial"/>
        </w:rPr>
        <w:t xml:space="preserve">year </w:t>
      </w:r>
      <w:r w:rsidR="00D22D05" w:rsidRPr="00701DE9">
        <w:rPr>
          <w:rFonts w:ascii="Arial" w:hAnsi="Arial" w:cs="Arial"/>
        </w:rPr>
        <w:t>20</w:t>
      </w:r>
      <w:r w:rsidR="00701DE9" w:rsidRPr="00701DE9">
        <w:rPr>
          <w:rFonts w:ascii="Arial" w:hAnsi="Arial" w:cs="Arial"/>
        </w:rPr>
        <w:t>20</w:t>
      </w:r>
      <w:r w:rsidR="00D22D05" w:rsidRPr="00701DE9">
        <w:rPr>
          <w:rFonts w:ascii="Arial" w:hAnsi="Arial" w:cs="Arial"/>
        </w:rPr>
        <w:t>/</w:t>
      </w:r>
      <w:r w:rsidR="00701DE9" w:rsidRPr="00701DE9">
        <w:rPr>
          <w:rFonts w:ascii="Arial" w:hAnsi="Arial" w:cs="Arial"/>
        </w:rPr>
        <w:t>21</w:t>
      </w:r>
      <w:r w:rsidR="00D22D05" w:rsidRPr="00701DE9">
        <w:rPr>
          <w:rFonts w:ascii="Arial" w:hAnsi="Arial" w:cs="Arial"/>
        </w:rPr>
        <w:t xml:space="preserve"> were </w:t>
      </w:r>
      <w:r w:rsidR="00D22D05" w:rsidRPr="00B31A03">
        <w:rPr>
          <w:rFonts w:ascii="Arial" w:hAnsi="Arial" w:cs="Arial"/>
        </w:rPr>
        <w:t>given an amber, an amber/green or a green assurance;</w:t>
      </w:r>
    </w:p>
    <w:p w14:paraId="189235D8" w14:textId="77777777" w:rsidR="00D22D05" w:rsidRPr="00B31A03" w:rsidRDefault="00B31A03" w:rsidP="00D22D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31A03">
        <w:rPr>
          <w:rFonts w:ascii="Arial" w:hAnsi="Arial" w:cs="Arial"/>
        </w:rPr>
        <w:t>100</w:t>
      </w:r>
      <w:r w:rsidR="00D22D05" w:rsidRPr="00B31A03">
        <w:rPr>
          <w:rFonts w:ascii="Arial" w:hAnsi="Arial" w:cs="Arial"/>
        </w:rPr>
        <w:t xml:space="preserve">% of </w:t>
      </w:r>
      <w:r w:rsidR="00231182" w:rsidRPr="00B31A03">
        <w:rPr>
          <w:rFonts w:ascii="Arial" w:hAnsi="Arial" w:cs="Arial"/>
        </w:rPr>
        <w:t xml:space="preserve">overall </w:t>
      </w:r>
      <w:r w:rsidR="00D22D05" w:rsidRPr="00B31A03">
        <w:rPr>
          <w:rFonts w:ascii="Arial" w:hAnsi="Arial" w:cs="Arial"/>
        </w:rPr>
        <w:t>recommendations made during 20</w:t>
      </w:r>
      <w:r w:rsidRPr="00B31A03">
        <w:rPr>
          <w:rFonts w:ascii="Arial" w:hAnsi="Arial" w:cs="Arial"/>
        </w:rPr>
        <w:t>20/21</w:t>
      </w:r>
      <w:r w:rsidR="00D22D05" w:rsidRPr="00B31A03">
        <w:rPr>
          <w:rFonts w:ascii="Arial" w:hAnsi="Arial" w:cs="Arial"/>
        </w:rPr>
        <w:t xml:space="preserve"> were agreed by management for implementation</w:t>
      </w:r>
      <w:r w:rsidR="00671215" w:rsidRPr="00B31A03">
        <w:rPr>
          <w:rFonts w:ascii="Arial" w:hAnsi="Arial" w:cs="Arial"/>
        </w:rPr>
        <w:t>;</w:t>
      </w:r>
    </w:p>
    <w:p w14:paraId="3C285844" w14:textId="77777777" w:rsidR="00671215" w:rsidRPr="00B31A03" w:rsidRDefault="00B31A03" w:rsidP="00D22D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31A03">
        <w:rPr>
          <w:rFonts w:ascii="Arial" w:hAnsi="Arial" w:cs="Arial"/>
        </w:rPr>
        <w:t>79</w:t>
      </w:r>
      <w:r w:rsidR="005E5739" w:rsidRPr="00B31A03">
        <w:rPr>
          <w:rFonts w:ascii="Arial" w:hAnsi="Arial" w:cs="Arial"/>
        </w:rPr>
        <w:t xml:space="preserve">% of recommendations </w:t>
      </w:r>
      <w:r w:rsidR="00636D58" w:rsidRPr="00B31A03">
        <w:rPr>
          <w:rFonts w:ascii="Arial" w:hAnsi="Arial" w:cs="Arial"/>
        </w:rPr>
        <w:t xml:space="preserve">were implemented/substantially implemented, </w:t>
      </w:r>
      <w:r w:rsidRPr="00B31A03">
        <w:rPr>
          <w:rFonts w:ascii="Arial" w:hAnsi="Arial" w:cs="Arial"/>
        </w:rPr>
        <w:t>15</w:t>
      </w:r>
      <w:r w:rsidR="00636D58" w:rsidRPr="00B31A03">
        <w:rPr>
          <w:rFonts w:ascii="Arial" w:hAnsi="Arial" w:cs="Arial"/>
        </w:rPr>
        <w:t xml:space="preserve">% were in progress and </w:t>
      </w:r>
      <w:r w:rsidRPr="00B31A03">
        <w:rPr>
          <w:rFonts w:ascii="Arial" w:hAnsi="Arial" w:cs="Arial"/>
        </w:rPr>
        <w:t>6</w:t>
      </w:r>
      <w:r w:rsidR="00636D58" w:rsidRPr="00B31A03">
        <w:rPr>
          <w:rFonts w:ascii="Arial" w:hAnsi="Arial" w:cs="Arial"/>
        </w:rPr>
        <w:t>% were planned at time of follow-up thus it is expected that in due course 100% will be implemented;</w:t>
      </w:r>
    </w:p>
    <w:p w14:paraId="72CEF667" w14:textId="77777777" w:rsidR="006C3876" w:rsidRPr="00B31A03" w:rsidRDefault="006C3876" w:rsidP="006C387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31A03">
        <w:rPr>
          <w:rFonts w:ascii="Arial" w:hAnsi="Arial" w:cs="Arial"/>
        </w:rPr>
        <w:t xml:space="preserve">All follow-ups resulted in an improved assurance rating with </w:t>
      </w:r>
      <w:r w:rsidR="00B31A03" w:rsidRPr="00B31A03">
        <w:rPr>
          <w:rFonts w:ascii="Arial" w:hAnsi="Arial" w:cs="Arial"/>
        </w:rPr>
        <w:t>100</w:t>
      </w:r>
      <w:r w:rsidRPr="00B31A03">
        <w:rPr>
          <w:rFonts w:ascii="Arial" w:hAnsi="Arial" w:cs="Arial"/>
        </w:rPr>
        <w:t>% attaining an</w:t>
      </w:r>
      <w:r w:rsidR="00B31A03" w:rsidRPr="00B31A03">
        <w:rPr>
          <w:rFonts w:ascii="Arial" w:hAnsi="Arial" w:cs="Arial"/>
        </w:rPr>
        <w:t xml:space="preserve"> </w:t>
      </w:r>
      <w:r w:rsidRPr="00B31A03">
        <w:rPr>
          <w:rFonts w:ascii="Arial" w:hAnsi="Arial" w:cs="Arial"/>
        </w:rPr>
        <w:t>amber/green or green assurance rating;</w:t>
      </w:r>
    </w:p>
    <w:p w14:paraId="08CFB51F" w14:textId="77777777" w:rsidR="005C125A" w:rsidRDefault="005C125A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6428BA" w14:textId="77777777" w:rsidR="00B90417" w:rsidRDefault="00B90417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7B1F77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730567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A30CD8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309ECC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48DA44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EA3A99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D6B587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EF3DB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DDDD1E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78A974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09B402" w14:textId="77777777"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4BAE02" w14:textId="77777777" w:rsidR="007E1F76" w:rsidRPr="005C125A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5F512E" w14:textId="77777777" w:rsidR="005C125A" w:rsidRPr="00686AAC" w:rsidRDefault="005C125A" w:rsidP="007244A4">
      <w:pPr>
        <w:shd w:val="clear" w:color="auto" w:fill="17365D" w:themeFill="text2" w:themeFillShade="BF"/>
        <w:spacing w:after="0" w:line="240" w:lineRule="auto"/>
        <w:ind w:left="-142" w:firstLine="142"/>
        <w:rPr>
          <w:rFonts w:ascii="Arial" w:hAnsi="Arial" w:cs="Arial"/>
          <w:b/>
          <w:sz w:val="40"/>
          <w:szCs w:val="40"/>
        </w:rPr>
      </w:pPr>
      <w:r w:rsidRPr="00686AAC">
        <w:rPr>
          <w:rFonts w:ascii="Arial" w:hAnsi="Arial" w:cs="Arial"/>
          <w:b/>
          <w:sz w:val="40"/>
          <w:szCs w:val="40"/>
        </w:rPr>
        <w:lastRenderedPageBreak/>
        <w:t xml:space="preserve">Summary of </w:t>
      </w:r>
      <w:r w:rsidR="00FA16B5">
        <w:rPr>
          <w:rFonts w:ascii="Arial" w:hAnsi="Arial" w:cs="Arial"/>
          <w:b/>
          <w:sz w:val="40"/>
          <w:szCs w:val="40"/>
        </w:rPr>
        <w:t xml:space="preserve">Outputs </w:t>
      </w:r>
    </w:p>
    <w:p w14:paraId="6CBA0C01" w14:textId="77777777" w:rsidR="005C125A" w:rsidRDefault="005C125A" w:rsidP="005C125A">
      <w:pPr>
        <w:spacing w:after="0" w:line="240" w:lineRule="auto"/>
      </w:pPr>
    </w:p>
    <w:p w14:paraId="386B6857" w14:textId="77777777" w:rsidR="005C125A" w:rsidRPr="00106217" w:rsidRDefault="00F62C5F" w:rsidP="00F62C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217">
        <w:rPr>
          <w:rFonts w:ascii="Arial" w:hAnsi="Arial" w:cs="Arial"/>
          <w:sz w:val="24"/>
          <w:szCs w:val="24"/>
        </w:rPr>
        <w:t xml:space="preserve">A summary of key </w:t>
      </w:r>
      <w:r w:rsidR="00C41AE9">
        <w:rPr>
          <w:rFonts w:ascii="Arial" w:hAnsi="Arial" w:cs="Arial"/>
          <w:sz w:val="24"/>
          <w:szCs w:val="24"/>
        </w:rPr>
        <w:t>outputs</w:t>
      </w:r>
      <w:r w:rsidR="007B29AB">
        <w:rPr>
          <w:rFonts w:ascii="Arial" w:hAnsi="Arial" w:cs="Arial"/>
          <w:sz w:val="24"/>
          <w:szCs w:val="24"/>
        </w:rPr>
        <w:t>/findings</w:t>
      </w:r>
      <w:r w:rsidRPr="00106217">
        <w:rPr>
          <w:rFonts w:ascii="Arial" w:hAnsi="Arial" w:cs="Arial"/>
          <w:sz w:val="24"/>
          <w:szCs w:val="24"/>
        </w:rPr>
        <w:t xml:space="preserve"> from the programme of internal audit work </w:t>
      </w:r>
      <w:r w:rsidR="00D157D1">
        <w:rPr>
          <w:rFonts w:ascii="Arial" w:hAnsi="Arial" w:cs="Arial"/>
          <w:sz w:val="24"/>
          <w:szCs w:val="24"/>
        </w:rPr>
        <w:t xml:space="preserve">at mid-year </w:t>
      </w:r>
      <w:r w:rsidRPr="00106217">
        <w:rPr>
          <w:rFonts w:ascii="Arial" w:hAnsi="Arial" w:cs="Arial"/>
          <w:sz w:val="24"/>
          <w:szCs w:val="24"/>
        </w:rPr>
        <w:t>is recorded in the table below:</w:t>
      </w:r>
    </w:p>
    <w:p w14:paraId="0B8EB3B1" w14:textId="77777777" w:rsidR="005C125A" w:rsidRPr="005C125A" w:rsidRDefault="005C125A" w:rsidP="005C125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5894"/>
      </w:tblGrid>
      <w:tr w:rsidR="00617135" w14:paraId="17A81B35" w14:textId="77777777" w:rsidTr="000F59D4">
        <w:tc>
          <w:tcPr>
            <w:tcW w:w="4621" w:type="dxa"/>
            <w:shd w:val="clear" w:color="auto" w:fill="17365D" w:themeFill="text2" w:themeFillShade="BF"/>
          </w:tcPr>
          <w:p w14:paraId="7C9037DB" w14:textId="77777777" w:rsidR="00617135" w:rsidRPr="004E6157" w:rsidRDefault="00617135" w:rsidP="0059314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4E6157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Key </w:t>
            </w:r>
            <w:r w:rsidR="00C41AE9" w:rsidRPr="004E6157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Outputs</w:t>
            </w:r>
            <w:r w:rsidR="0059314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at Mid-Year</w:t>
            </w:r>
          </w:p>
        </w:tc>
        <w:tc>
          <w:tcPr>
            <w:tcW w:w="5977" w:type="dxa"/>
            <w:shd w:val="clear" w:color="auto" w:fill="17365D" w:themeFill="text2" w:themeFillShade="BF"/>
          </w:tcPr>
          <w:p w14:paraId="43BBD35B" w14:textId="77777777" w:rsidR="00617135" w:rsidRDefault="00617135" w:rsidP="005C1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5F" w14:paraId="087F4793" w14:textId="77777777" w:rsidTr="000F59D4">
        <w:tc>
          <w:tcPr>
            <w:tcW w:w="4621" w:type="dxa"/>
            <w:shd w:val="clear" w:color="auto" w:fill="17365D" w:themeFill="text2" w:themeFillShade="BF"/>
          </w:tcPr>
          <w:p w14:paraId="27288F3B" w14:textId="77777777" w:rsidR="00F62C5F" w:rsidRPr="00F62C5F" w:rsidRDefault="00F62C5F" w:rsidP="005C125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5977" w:type="dxa"/>
            <w:shd w:val="clear" w:color="auto" w:fill="17365D" w:themeFill="text2" w:themeFillShade="BF"/>
          </w:tcPr>
          <w:p w14:paraId="5A0B8F24" w14:textId="77777777" w:rsidR="00F62C5F" w:rsidRDefault="00F62C5F" w:rsidP="005C1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</w:tr>
      <w:tr w:rsidR="00F62C5F" w14:paraId="77F14786" w14:textId="77777777" w:rsidTr="000F59D4">
        <w:tc>
          <w:tcPr>
            <w:tcW w:w="4621" w:type="dxa"/>
          </w:tcPr>
          <w:p w14:paraId="15E990AC" w14:textId="77777777" w:rsidR="00F62C5F" w:rsidRPr="00B31A03" w:rsidRDefault="00C41AE9" w:rsidP="00F62C5F">
            <w:pPr>
              <w:pStyle w:val="NormalWeb"/>
              <w:spacing w:before="0" w:beforeAutospacing="0" w:after="40" w:afterAutospacing="0" w:line="240" w:lineRule="exact"/>
              <w:rPr>
                <w:sz w:val="20"/>
                <w:szCs w:val="20"/>
              </w:rPr>
            </w:pPr>
            <w:r w:rsidRPr="00B31A03">
              <w:rPr>
                <w:rFonts w:ascii="Arial" w:eastAsia="+mj-ea" w:hAnsi="Arial" w:cs="+mj-cs"/>
                <w:b/>
                <w:bCs/>
                <w:kern w:val="24"/>
                <w:sz w:val="20"/>
                <w:szCs w:val="20"/>
              </w:rPr>
              <w:t>Audit reports</w:t>
            </w:r>
          </w:p>
          <w:p w14:paraId="3C5FC7CA" w14:textId="77777777" w:rsidR="00F62C5F" w:rsidRPr="00B31A03" w:rsidRDefault="00637855" w:rsidP="00C41AE9">
            <w:pPr>
              <w:pStyle w:val="NormalWeb"/>
              <w:spacing w:before="0" w:beforeAutospacing="0" w:after="4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B31A03">
              <w:rPr>
                <w:rFonts w:ascii="Arial" w:eastAsia="+mj-ea" w:hAnsi="Arial" w:cs="+mj-cs"/>
                <w:kern w:val="24"/>
                <w:sz w:val="20"/>
                <w:szCs w:val="20"/>
              </w:rPr>
              <w:t>3</w:t>
            </w:r>
            <w:r w:rsidR="00D157D1" w:rsidRPr="00B31A03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  <w:r w:rsidR="00F62C5F" w:rsidRPr="00B31A03">
              <w:rPr>
                <w:rFonts w:ascii="Arial" w:eastAsia="+mj-ea" w:hAnsi="Arial" w:cs="+mj-cs"/>
                <w:kern w:val="24"/>
                <w:sz w:val="20"/>
                <w:szCs w:val="20"/>
              </w:rPr>
              <w:t>internal audit reviews</w:t>
            </w:r>
            <w:r w:rsidR="00471886" w:rsidRPr="00B31A03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were undertaken resulting in an audit report</w:t>
            </w:r>
            <w:r w:rsidR="00C41AE9" w:rsidRPr="00B31A03">
              <w:rPr>
                <w:rFonts w:ascii="Arial" w:eastAsia="+mj-ea" w:hAnsi="Arial" w:cs="+mj-cs"/>
                <w:kern w:val="24"/>
                <w:sz w:val="20"/>
                <w:szCs w:val="20"/>
              </w:rPr>
              <w:t>.</w:t>
            </w:r>
            <w:r w:rsidR="00471886" w:rsidRPr="00B31A03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977" w:type="dxa"/>
          </w:tcPr>
          <w:p w14:paraId="418057CA" w14:textId="0812A2BB" w:rsidR="00471886" w:rsidRPr="00B31A03" w:rsidRDefault="00637855" w:rsidP="00471886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 w:rsidRPr="00B31A03">
              <w:rPr>
                <w:rFonts w:ascii="Arial" w:hAnsi="Arial" w:cs="Arial"/>
                <w:sz w:val="20"/>
                <w:szCs w:val="20"/>
              </w:rPr>
              <w:t>2</w:t>
            </w:r>
            <w:r w:rsidR="00C41AE9" w:rsidRPr="00B31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937" w:rsidRPr="00B31A03">
              <w:rPr>
                <w:rFonts w:ascii="Arial" w:hAnsi="Arial" w:cs="Arial"/>
                <w:sz w:val="20"/>
                <w:szCs w:val="20"/>
              </w:rPr>
              <w:t>g</w:t>
            </w:r>
            <w:r w:rsidR="00C41AE9" w:rsidRPr="00B31A03">
              <w:rPr>
                <w:rFonts w:ascii="Arial" w:hAnsi="Arial" w:cs="Arial"/>
                <w:sz w:val="20"/>
                <w:szCs w:val="20"/>
              </w:rPr>
              <w:t>reen</w:t>
            </w:r>
            <w:r w:rsidRPr="00B31A03">
              <w:rPr>
                <w:rFonts w:ascii="Arial" w:hAnsi="Arial" w:cs="Arial"/>
                <w:sz w:val="20"/>
                <w:szCs w:val="20"/>
              </w:rPr>
              <w:t xml:space="preserve"> and 1</w:t>
            </w:r>
            <w:r w:rsidR="00C41AE9" w:rsidRPr="00B31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E63">
              <w:rPr>
                <w:rFonts w:ascii="Arial" w:hAnsi="Arial" w:cs="Arial"/>
                <w:sz w:val="20"/>
                <w:szCs w:val="20"/>
              </w:rPr>
              <w:t xml:space="preserve">red </w:t>
            </w:r>
            <w:r w:rsidR="00C41AE9" w:rsidRPr="00B31A03">
              <w:rPr>
                <w:rFonts w:ascii="Arial" w:hAnsi="Arial" w:cs="Arial"/>
                <w:sz w:val="20"/>
                <w:szCs w:val="20"/>
              </w:rPr>
              <w:t>assurance report</w:t>
            </w:r>
            <w:r w:rsidR="002A1E63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C41AE9" w:rsidRPr="00B31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E63" w:rsidRPr="00B31A03">
              <w:rPr>
                <w:rFonts w:ascii="Arial" w:hAnsi="Arial" w:cs="Arial"/>
                <w:sz w:val="20"/>
                <w:szCs w:val="20"/>
              </w:rPr>
              <w:t>issued.</w:t>
            </w:r>
          </w:p>
          <w:p w14:paraId="73B4BE31" w14:textId="49BD212E" w:rsidR="00C41AE9" w:rsidRPr="00B31A03" w:rsidRDefault="002A1E63" w:rsidP="00B8344F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6</w:t>
            </w:r>
            <w:r w:rsidR="00C41AE9" w:rsidRPr="00B31A03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high risk, </w:t>
            </w:r>
            <w:r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8</w:t>
            </w:r>
            <w:r w:rsidR="00C41AE9" w:rsidRPr="00B31A03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medium risk and </w:t>
            </w:r>
            <w:r w:rsidR="00B31A03" w:rsidRPr="00B31A03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1</w:t>
            </w:r>
            <w:r w:rsidR="00B8344F" w:rsidRPr="00B31A03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l</w:t>
            </w:r>
            <w:r w:rsidR="00C41AE9" w:rsidRPr="00B31A03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ow risk</w:t>
            </w:r>
            <w:r w:rsidR="00C41AE9" w:rsidRPr="00B31A03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recommendation w</w:t>
            </w:r>
            <w:r>
              <w:rPr>
                <w:rFonts w:ascii="Arial" w:eastAsia="+mj-ea" w:hAnsi="Arial" w:cs="+mj-cs"/>
                <w:kern w:val="24"/>
                <w:sz w:val="20"/>
                <w:szCs w:val="20"/>
              </w:rPr>
              <w:t>as</w:t>
            </w:r>
            <w:r w:rsidR="00C41AE9" w:rsidRPr="00B31A03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made to improve weaknesses identified in governance, risk management or control.</w:t>
            </w:r>
          </w:p>
        </w:tc>
      </w:tr>
      <w:tr w:rsidR="007B29AB" w14:paraId="2EEDABC8" w14:textId="77777777" w:rsidTr="000F59D4">
        <w:tc>
          <w:tcPr>
            <w:tcW w:w="4621" w:type="dxa"/>
          </w:tcPr>
          <w:p w14:paraId="7E51C4E8" w14:textId="77777777" w:rsidR="007B29AB" w:rsidRPr="00637855" w:rsidRDefault="007B29AB" w:rsidP="00F62C5F">
            <w:pPr>
              <w:pStyle w:val="NormalWeb"/>
              <w:spacing w:before="0" w:beforeAutospacing="0" w:after="40" w:afterAutospacing="0" w:line="240" w:lineRule="exact"/>
              <w:rPr>
                <w:rFonts w:ascii="Arial" w:eastAsia="+mj-ea" w:hAnsi="Arial" w:cs="+mj-cs"/>
                <w:b/>
                <w:bCs/>
                <w:kern w:val="24"/>
                <w:sz w:val="20"/>
                <w:szCs w:val="20"/>
              </w:rPr>
            </w:pPr>
            <w:r w:rsidRPr="00637855">
              <w:rPr>
                <w:rFonts w:ascii="Arial" w:eastAsia="+mj-ea" w:hAnsi="Arial" w:cs="+mj-cs"/>
                <w:b/>
                <w:bCs/>
                <w:kern w:val="24"/>
                <w:sz w:val="20"/>
                <w:szCs w:val="20"/>
              </w:rPr>
              <w:t>Significant weaknesses</w:t>
            </w:r>
          </w:p>
          <w:p w14:paraId="21FBE168" w14:textId="33D3968E" w:rsidR="007B29AB" w:rsidRPr="00637855" w:rsidRDefault="00637855" w:rsidP="00C1096B">
            <w:pPr>
              <w:pStyle w:val="NormalWeb"/>
              <w:spacing w:before="0" w:beforeAutospacing="0" w:after="40" w:afterAutospacing="0" w:line="240" w:lineRule="exact"/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</w:pPr>
            <w:r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1</w:t>
            </w:r>
            <w:r w:rsidR="000F73B2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</w:t>
            </w:r>
            <w:r w:rsidR="00D354B7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r</w:t>
            </w:r>
            <w:r w:rsidR="007B29AB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ed assurance report </w:t>
            </w:r>
            <w:r w:rsidR="000F73B2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ha</w:t>
            </w:r>
            <w:r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s</w:t>
            </w:r>
            <w:r w:rsidR="000F73B2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been issued </w:t>
            </w:r>
            <w:r w:rsidR="00B95617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at mid-year </w:t>
            </w:r>
            <w:r w:rsidR="007B29AB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20</w:t>
            </w:r>
            <w:r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20/21</w:t>
            </w:r>
            <w:r w:rsidR="007B29AB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5977" w:type="dxa"/>
          </w:tcPr>
          <w:p w14:paraId="570326A0" w14:textId="7E54AD85" w:rsidR="00C24881" w:rsidRPr="00637855" w:rsidRDefault="00637855" w:rsidP="00637855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 w:rsidRPr="00637855">
              <w:rPr>
                <w:rFonts w:ascii="Arial" w:hAnsi="Arial" w:cs="Arial"/>
                <w:sz w:val="20"/>
                <w:szCs w:val="20"/>
              </w:rPr>
              <w:t>Major Projects - Depot Redevelopment Additional Works</w:t>
            </w:r>
            <w:r w:rsidR="00D354B7">
              <w:rPr>
                <w:rFonts w:ascii="Arial" w:hAnsi="Arial" w:cs="Arial"/>
                <w:sz w:val="20"/>
                <w:szCs w:val="20"/>
              </w:rPr>
              <w:t xml:space="preserve">. (Presented to GARMS Committee at October 20 meeting.) </w:t>
            </w:r>
          </w:p>
        </w:tc>
      </w:tr>
      <w:tr w:rsidR="00C41AE9" w14:paraId="77A7B4B5" w14:textId="77777777" w:rsidTr="000F59D4">
        <w:tc>
          <w:tcPr>
            <w:tcW w:w="4621" w:type="dxa"/>
          </w:tcPr>
          <w:p w14:paraId="6EE3E175" w14:textId="514AD236" w:rsidR="00C41AE9" w:rsidRPr="00637855" w:rsidRDefault="00C41AE9" w:rsidP="00F62C5F">
            <w:pPr>
              <w:pStyle w:val="NormalWeb"/>
              <w:spacing w:before="0" w:beforeAutospacing="0" w:after="40" w:afterAutospacing="0" w:line="240" w:lineRule="exact"/>
              <w:rPr>
                <w:rFonts w:ascii="Arial" w:eastAsia="+mj-ea" w:hAnsi="Arial" w:cs="+mj-cs"/>
                <w:b/>
                <w:bCs/>
                <w:kern w:val="24"/>
                <w:sz w:val="20"/>
                <w:szCs w:val="20"/>
              </w:rPr>
            </w:pPr>
            <w:r w:rsidRPr="00637855">
              <w:rPr>
                <w:rFonts w:ascii="Arial" w:eastAsia="+mj-ea" w:hAnsi="Arial" w:cs="+mj-cs"/>
                <w:b/>
                <w:bCs/>
                <w:kern w:val="24"/>
                <w:sz w:val="20"/>
                <w:szCs w:val="20"/>
              </w:rPr>
              <w:t>Other audit work</w:t>
            </w:r>
          </w:p>
          <w:p w14:paraId="374D427C" w14:textId="77777777" w:rsidR="00C41AE9" w:rsidRPr="00844C5F" w:rsidRDefault="00900406" w:rsidP="00B94B8B">
            <w:pPr>
              <w:pStyle w:val="NormalWeb"/>
              <w:spacing w:before="0" w:beforeAutospacing="0" w:after="40" w:afterAutospacing="0" w:line="240" w:lineRule="exact"/>
              <w:rPr>
                <w:rFonts w:ascii="Arial" w:eastAsia="+mj-ea" w:hAnsi="Arial" w:cs="+mj-cs"/>
                <w:bCs/>
                <w:color w:val="FF0000"/>
                <w:kern w:val="24"/>
                <w:sz w:val="20"/>
                <w:szCs w:val="20"/>
              </w:rPr>
            </w:pPr>
            <w:r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A number of o</w:t>
            </w:r>
            <w:r w:rsidR="00C24881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ther </w:t>
            </w:r>
            <w:r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pieces of </w:t>
            </w:r>
            <w:r w:rsidR="00C24881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audit work</w:t>
            </w:r>
            <w:r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</w:t>
            </w:r>
            <w:r w:rsidR="00B94B8B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have been </w:t>
            </w:r>
            <w:r w:rsidR="00C24881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undertaken as part of the 20</w:t>
            </w:r>
            <w:r w:rsidR="00637855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20/21</w:t>
            </w:r>
            <w:r w:rsidR="00C24881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</w:t>
            </w:r>
            <w:r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I</w:t>
            </w:r>
            <w:r w:rsidR="00C24881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nternal </w:t>
            </w:r>
            <w:r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A</w:t>
            </w:r>
            <w:r w:rsidR="00C24881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udit </w:t>
            </w:r>
            <w:r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P</w:t>
            </w:r>
            <w:r w:rsidR="00C24881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lan</w:t>
            </w:r>
            <w:r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that did not result in a traditional audit report</w:t>
            </w:r>
            <w:r w:rsidR="00896149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but </w:t>
            </w:r>
            <w:r w:rsidR="00FA16B5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none</w:t>
            </w:r>
            <w:r w:rsidR="00896149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the less added value to the Council’s governance, risk management and control framework</w:t>
            </w:r>
            <w:r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.</w:t>
            </w:r>
            <w:r w:rsidR="00C24881" w:rsidRPr="0063785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977" w:type="dxa"/>
          </w:tcPr>
          <w:p w14:paraId="29FC67FD" w14:textId="43756306" w:rsidR="00587C91" w:rsidRPr="00637855" w:rsidRDefault="00587C91" w:rsidP="00587C91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 w:rsidRPr="00637855">
              <w:rPr>
                <w:rFonts w:ascii="Arial" w:hAnsi="Arial" w:cs="Arial"/>
                <w:sz w:val="20"/>
                <w:szCs w:val="20"/>
              </w:rPr>
              <w:t xml:space="preserve">Risk Management, outputs = Corporate Risk </w:t>
            </w:r>
            <w:r w:rsidR="00701DE9">
              <w:rPr>
                <w:rFonts w:ascii="Arial" w:hAnsi="Arial" w:cs="Arial"/>
                <w:sz w:val="20"/>
                <w:szCs w:val="20"/>
              </w:rPr>
              <w:t>R</w:t>
            </w:r>
            <w:r w:rsidRPr="00637855">
              <w:rPr>
                <w:rFonts w:ascii="Arial" w:hAnsi="Arial" w:cs="Arial"/>
                <w:sz w:val="20"/>
                <w:szCs w:val="20"/>
              </w:rPr>
              <w:t>egister for Q1</w:t>
            </w:r>
            <w:r w:rsidR="00701DE9">
              <w:rPr>
                <w:rFonts w:ascii="Arial" w:hAnsi="Arial" w:cs="Arial"/>
                <w:sz w:val="20"/>
                <w:szCs w:val="20"/>
              </w:rPr>
              <w:t>/</w:t>
            </w:r>
            <w:r w:rsidRPr="006378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B8B" w:rsidRPr="00637855">
              <w:rPr>
                <w:rFonts w:ascii="Arial" w:hAnsi="Arial" w:cs="Arial"/>
                <w:sz w:val="20"/>
                <w:szCs w:val="20"/>
              </w:rPr>
              <w:t xml:space="preserve">Q2 </w:t>
            </w:r>
          </w:p>
          <w:p w14:paraId="7BEF2C97" w14:textId="413AEB0E" w:rsidR="00587C91" w:rsidRPr="007E78B0" w:rsidRDefault="00896149" w:rsidP="00587C91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 w:rsidRPr="007E78B0">
              <w:rPr>
                <w:rFonts w:ascii="Arial" w:hAnsi="Arial" w:cs="Arial"/>
                <w:sz w:val="20"/>
                <w:szCs w:val="20"/>
              </w:rPr>
              <w:t xml:space="preserve">Families First (Troubled Families Grant), outputs = validation of the </w:t>
            </w:r>
            <w:r w:rsidR="005E54EB" w:rsidRPr="007E78B0">
              <w:rPr>
                <w:rFonts w:ascii="Arial" w:hAnsi="Arial" w:cs="Arial"/>
                <w:sz w:val="20"/>
                <w:szCs w:val="20"/>
              </w:rPr>
              <w:t>Q</w:t>
            </w:r>
            <w:r w:rsidR="00637855" w:rsidRPr="007E78B0">
              <w:rPr>
                <w:rFonts w:ascii="Arial" w:hAnsi="Arial" w:cs="Arial"/>
                <w:sz w:val="20"/>
                <w:szCs w:val="20"/>
              </w:rPr>
              <w:t>2</w:t>
            </w:r>
            <w:r w:rsidRPr="007E78B0">
              <w:rPr>
                <w:rFonts w:ascii="Arial" w:hAnsi="Arial" w:cs="Arial"/>
                <w:sz w:val="20"/>
                <w:szCs w:val="20"/>
              </w:rPr>
              <w:t xml:space="preserve"> grant </w:t>
            </w:r>
            <w:r w:rsidR="00DD7478" w:rsidRPr="007E78B0">
              <w:rPr>
                <w:rFonts w:ascii="Arial" w:hAnsi="Arial" w:cs="Arial"/>
                <w:sz w:val="20"/>
                <w:szCs w:val="20"/>
              </w:rPr>
              <w:t>claim.</w:t>
            </w:r>
            <w:r w:rsidR="00587C91" w:rsidRPr="007E7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9143B1" w14:textId="77777777" w:rsidR="007E78B0" w:rsidRPr="007E78B0" w:rsidRDefault="00896149" w:rsidP="00C1096B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78B0">
              <w:rPr>
                <w:rFonts w:ascii="Arial" w:hAnsi="Arial" w:cs="Arial"/>
                <w:sz w:val="20"/>
                <w:szCs w:val="20"/>
              </w:rPr>
              <w:t>Professional Advice, outputs = the provision of independent professional internal audit advice on a range of topics</w:t>
            </w:r>
            <w:r w:rsidR="00C1096B" w:rsidRPr="007E78B0">
              <w:rPr>
                <w:rFonts w:ascii="Arial" w:hAnsi="Arial" w:cs="Arial"/>
                <w:sz w:val="20"/>
                <w:szCs w:val="20"/>
              </w:rPr>
              <w:t xml:space="preserve"> e.g. </w:t>
            </w:r>
          </w:p>
          <w:p w14:paraId="74F5B722" w14:textId="0AB48DC5" w:rsidR="007E78B0" w:rsidRPr="007E78B0" w:rsidRDefault="007474DA" w:rsidP="007E78B0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78B0">
              <w:rPr>
                <w:rFonts w:ascii="Arial" w:hAnsi="Arial" w:cs="Arial"/>
                <w:sz w:val="20"/>
                <w:szCs w:val="20"/>
              </w:rPr>
              <w:t xml:space="preserve">Schools: </w:t>
            </w:r>
            <w:r w:rsidR="007E78B0">
              <w:rPr>
                <w:rFonts w:ascii="Arial" w:hAnsi="Arial" w:cs="Arial"/>
                <w:sz w:val="20"/>
                <w:szCs w:val="20"/>
              </w:rPr>
              <w:t>w</w:t>
            </w:r>
            <w:r w:rsidRPr="007E78B0">
              <w:rPr>
                <w:rFonts w:ascii="Arial" w:hAnsi="Arial" w:cs="Arial"/>
                <w:sz w:val="20"/>
                <w:szCs w:val="20"/>
              </w:rPr>
              <w:t xml:space="preserve">aivers for cleaning contract, declaration of interests, delegations, separation of duties and changes to online banking. </w:t>
            </w:r>
          </w:p>
          <w:p w14:paraId="6404FA82" w14:textId="43A12038" w:rsidR="007E78B0" w:rsidRPr="007E78B0" w:rsidRDefault="007474DA" w:rsidP="007E78B0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78B0">
              <w:rPr>
                <w:rFonts w:ascii="Arial" w:hAnsi="Arial" w:cs="Arial"/>
                <w:sz w:val="20"/>
                <w:szCs w:val="20"/>
              </w:rPr>
              <w:t xml:space="preserve">Resources Directorate: </w:t>
            </w:r>
            <w:r w:rsidR="007E78B0">
              <w:rPr>
                <w:rFonts w:ascii="Arial" w:hAnsi="Arial" w:cs="Arial"/>
                <w:sz w:val="20"/>
                <w:szCs w:val="20"/>
              </w:rPr>
              <w:t>a</w:t>
            </w:r>
            <w:r w:rsidRPr="007E78B0">
              <w:rPr>
                <w:rFonts w:ascii="Arial" w:hAnsi="Arial" w:cs="Arial"/>
                <w:sz w:val="20"/>
                <w:szCs w:val="20"/>
              </w:rPr>
              <w:t>uthorisations during pandemic</w:t>
            </w:r>
            <w:r w:rsidR="007E78B0">
              <w:rPr>
                <w:rFonts w:ascii="Arial" w:hAnsi="Arial" w:cs="Arial"/>
                <w:sz w:val="20"/>
                <w:szCs w:val="20"/>
              </w:rPr>
              <w:t>, hardship payment fund policy review</w:t>
            </w:r>
            <w:r w:rsidRPr="007E78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0F1FBA" w14:textId="77777777" w:rsidR="00896149" w:rsidRPr="007E78B0" w:rsidRDefault="000C2355" w:rsidP="007E78B0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78B0">
              <w:rPr>
                <w:rFonts w:ascii="Arial" w:hAnsi="Arial" w:cs="Arial"/>
                <w:sz w:val="20"/>
                <w:szCs w:val="20"/>
              </w:rPr>
              <w:t>B</w:t>
            </w:r>
            <w:r w:rsidR="007E78B0" w:rsidRPr="007E78B0">
              <w:rPr>
                <w:rFonts w:ascii="Arial" w:hAnsi="Arial" w:cs="Arial"/>
                <w:sz w:val="20"/>
                <w:szCs w:val="20"/>
              </w:rPr>
              <w:t xml:space="preserve">rexit: risk management advice on EU Trade and Co-Operation Agreement; action points relating Settled Status and facilitation of the meetings of the Council’s Brexit Group. </w:t>
            </w:r>
          </w:p>
          <w:p w14:paraId="0649EC73" w14:textId="77777777" w:rsidR="007E78B0" w:rsidRPr="007E78B0" w:rsidRDefault="007E78B0" w:rsidP="007E78B0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E78B0">
              <w:rPr>
                <w:rFonts w:ascii="Arial" w:hAnsi="Arial" w:cs="Arial"/>
                <w:sz w:val="20"/>
                <w:szCs w:val="20"/>
              </w:rPr>
              <w:t>Adults: applying carers premium to financial assessments, cash float.</w:t>
            </w:r>
          </w:p>
          <w:p w14:paraId="218EA048" w14:textId="5BA7A3B6" w:rsidR="007E78B0" w:rsidRPr="007E78B0" w:rsidRDefault="007E78B0" w:rsidP="007E78B0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78B0">
              <w:rPr>
                <w:rFonts w:ascii="Arial" w:hAnsi="Arial" w:cs="Arial"/>
                <w:sz w:val="20"/>
                <w:szCs w:val="20"/>
              </w:rPr>
              <w:t>Community: parking policy review.</w:t>
            </w:r>
          </w:p>
        </w:tc>
      </w:tr>
      <w:tr w:rsidR="00F62C5F" w14:paraId="4BEAFF55" w14:textId="77777777" w:rsidTr="000F59D4">
        <w:tc>
          <w:tcPr>
            <w:tcW w:w="4621" w:type="dxa"/>
          </w:tcPr>
          <w:p w14:paraId="21335895" w14:textId="77777777" w:rsidR="00F62C5F" w:rsidRDefault="00DF7C4B" w:rsidP="00B94B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C4B">
              <w:rPr>
                <w:rFonts w:ascii="Arial" w:hAnsi="Arial" w:cs="Arial"/>
                <w:b/>
                <w:bCs/>
                <w:sz w:val="20"/>
                <w:szCs w:val="20"/>
              </w:rPr>
              <w:t>Follow</w:t>
            </w:r>
            <w:r w:rsidR="00D35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F7C4B">
              <w:rPr>
                <w:rFonts w:ascii="Arial" w:hAnsi="Arial" w:cs="Arial"/>
                <w:b/>
                <w:bCs/>
                <w:sz w:val="20"/>
                <w:szCs w:val="20"/>
              </w:rPr>
              <w:t>up</w:t>
            </w:r>
          </w:p>
          <w:p w14:paraId="7A65518A" w14:textId="5B23B6CF" w:rsidR="00D354B7" w:rsidRPr="00D354B7" w:rsidRDefault="00D354B7" w:rsidP="00B9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4B7">
              <w:rPr>
                <w:rFonts w:ascii="Arial" w:hAnsi="Arial" w:cs="Arial"/>
                <w:sz w:val="20"/>
                <w:szCs w:val="20"/>
              </w:rPr>
              <w:t xml:space="preserve">Follow up of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354B7">
              <w:rPr>
                <w:rFonts w:ascii="Arial" w:hAnsi="Arial" w:cs="Arial"/>
                <w:sz w:val="20"/>
                <w:szCs w:val="20"/>
              </w:rPr>
              <w:t xml:space="preserve">he implementation of previously agreed actions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taken </w:t>
            </w:r>
            <w:r w:rsidRPr="00D354B7">
              <w:rPr>
                <w:rFonts w:ascii="Arial" w:hAnsi="Arial" w:cs="Arial"/>
                <w:sz w:val="20"/>
                <w:szCs w:val="20"/>
              </w:rPr>
              <w:t>as a result of audit recommendations.</w:t>
            </w:r>
          </w:p>
        </w:tc>
        <w:tc>
          <w:tcPr>
            <w:tcW w:w="5977" w:type="dxa"/>
          </w:tcPr>
          <w:p w14:paraId="1BF61E09" w14:textId="6E56E191" w:rsidR="00F62C5F" w:rsidRPr="00637855" w:rsidRDefault="00637855" w:rsidP="00B95617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>5</w:t>
            </w:r>
            <w:r w:rsidR="00B94B8B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  <w:r w:rsidR="00F06479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follow-ups have been </w:t>
            </w:r>
            <w:r w:rsidR="00730037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>completed during 20</w:t>
            </w:r>
            <w:r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>20/21</w:t>
            </w:r>
            <w:r w:rsidR="00B94B8B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  <w:r w:rsidR="005D4672">
              <w:rPr>
                <w:rFonts w:ascii="Arial" w:eastAsia="+mj-ea" w:hAnsi="Arial" w:cs="+mj-cs"/>
                <w:kern w:val="24"/>
                <w:sz w:val="20"/>
                <w:szCs w:val="20"/>
              </w:rPr>
              <w:t>at mid-year</w:t>
            </w:r>
            <w:r w:rsidR="001C1FDD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. </w:t>
            </w:r>
            <w:r w:rsidR="002B36C4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All completed follow-ups have resulted in an improved assurance rating. </w:t>
            </w:r>
          </w:p>
        </w:tc>
      </w:tr>
      <w:tr w:rsidR="00F62C5F" w14:paraId="3010DC1D" w14:textId="77777777" w:rsidTr="000F59D4">
        <w:tc>
          <w:tcPr>
            <w:tcW w:w="4621" w:type="dxa"/>
          </w:tcPr>
          <w:p w14:paraId="11524556" w14:textId="77777777" w:rsidR="007C3BFB" w:rsidRPr="00637855" w:rsidRDefault="007C3BFB" w:rsidP="007C3BFB">
            <w:pPr>
              <w:pStyle w:val="NormalWeb"/>
              <w:spacing w:before="0" w:beforeAutospacing="0" w:after="40" w:afterAutospacing="0" w:line="240" w:lineRule="exact"/>
              <w:rPr>
                <w:sz w:val="20"/>
                <w:szCs w:val="20"/>
              </w:rPr>
            </w:pPr>
            <w:r w:rsidRPr="00637855">
              <w:rPr>
                <w:rFonts w:ascii="Arial" w:eastAsia="+mj-ea" w:hAnsi="Arial" w:cs="+mj-cs"/>
                <w:b/>
                <w:bCs/>
                <w:kern w:val="24"/>
                <w:sz w:val="20"/>
                <w:szCs w:val="20"/>
              </w:rPr>
              <w:t>Good practice</w:t>
            </w:r>
          </w:p>
          <w:p w14:paraId="1C3AA579" w14:textId="452DD38E" w:rsidR="00F62C5F" w:rsidRPr="00637855" w:rsidRDefault="00D354B7" w:rsidP="002B36C4">
            <w:pPr>
              <w:pStyle w:val="NormalWeb"/>
              <w:spacing w:before="0" w:beforeAutospacing="0" w:after="4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+mj-ea" w:hAnsi="Arial" w:cs="+mj-cs"/>
                <w:kern w:val="24"/>
                <w:sz w:val="20"/>
                <w:szCs w:val="20"/>
              </w:rPr>
              <w:t>A</w:t>
            </w:r>
            <w:r w:rsidR="007C3BFB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have been a </w:t>
            </w:r>
            <w:r w:rsidR="007C3BFB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>number of areas where few weaknesses were identified</w:t>
            </w:r>
            <w:r w:rsidR="002B36C4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>.</w:t>
            </w:r>
            <w:r w:rsidR="007C3BFB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977" w:type="dxa"/>
          </w:tcPr>
          <w:p w14:paraId="10EAD366" w14:textId="33A1FEE4" w:rsidR="002B36C4" w:rsidRPr="00637855" w:rsidRDefault="002B36C4" w:rsidP="00C24881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sz w:val="20"/>
                <w:szCs w:val="20"/>
              </w:rPr>
            </w:pPr>
            <w:r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>The Council’s c</w:t>
            </w:r>
            <w:r w:rsidR="006E14F9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ore </w:t>
            </w:r>
            <w:r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>f</w:t>
            </w:r>
            <w:r w:rsidR="006E14F9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inancial </w:t>
            </w:r>
            <w:r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>s</w:t>
            </w:r>
            <w:r w:rsidR="006E14F9"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ystems </w:t>
            </w:r>
            <w:r w:rsidRPr="00637855">
              <w:rPr>
                <w:rFonts w:ascii="Arial" w:eastAsia="+mj-ea" w:hAnsi="Arial" w:cs="+mj-cs"/>
                <w:kern w:val="24"/>
                <w:sz w:val="20"/>
                <w:szCs w:val="20"/>
              </w:rPr>
              <w:t>continue to be well controlled with the combined approach of periodic full audit reviews and annual evidence based self-assessments working well</w:t>
            </w:r>
            <w:r w:rsidR="00DD7478">
              <w:rPr>
                <w:rFonts w:ascii="Arial" w:eastAsia="+mj-ea" w:hAnsi="Arial" w:cs="+mj-cs"/>
                <w:kern w:val="24"/>
                <w:sz w:val="20"/>
                <w:szCs w:val="20"/>
              </w:rPr>
              <w:t>.</w:t>
            </w:r>
          </w:p>
          <w:p w14:paraId="1BBCABA0" w14:textId="77777777" w:rsidR="00F62C5F" w:rsidRPr="00637855" w:rsidRDefault="00F62C5F" w:rsidP="00637855">
            <w:pPr>
              <w:pStyle w:val="ListParagraph"/>
              <w:spacing w:after="40"/>
              <w:ind w:left="1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906DA" w14:textId="77777777" w:rsidR="007B29AB" w:rsidRDefault="007B29AB" w:rsidP="007B29AB">
      <w:pPr>
        <w:shd w:val="clear" w:color="auto" w:fill="FFFFFF" w:themeFill="background1"/>
        <w:spacing w:after="0" w:line="240" w:lineRule="auto"/>
        <w:ind w:left="-142"/>
        <w:rPr>
          <w:rFonts w:ascii="Arial" w:eastAsia="+mj-ea" w:hAnsi="Arial" w:cs="+mj-cs"/>
          <w:b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</w:pPr>
    </w:p>
    <w:p w14:paraId="4DE88328" w14:textId="77777777" w:rsidR="007B29AB" w:rsidRDefault="007B29AB">
      <w:pPr>
        <w:spacing w:after="0" w:line="240" w:lineRule="auto"/>
        <w:rPr>
          <w:rFonts w:ascii="Arial" w:eastAsia="+mj-ea" w:hAnsi="Arial" w:cs="+mj-cs"/>
          <w:b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</w:pPr>
      <w:r>
        <w:rPr>
          <w:rFonts w:ascii="Arial" w:eastAsia="+mj-ea" w:hAnsi="Arial" w:cs="+mj-cs"/>
          <w:b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  <w:br w:type="page"/>
      </w:r>
    </w:p>
    <w:p w14:paraId="6BFC6494" w14:textId="77777777" w:rsidR="00617135" w:rsidRPr="00844C5F" w:rsidRDefault="003C7099" w:rsidP="007244A4">
      <w:pPr>
        <w:shd w:val="clear" w:color="auto" w:fill="17365D" w:themeFill="text2" w:themeFillShade="BF"/>
        <w:spacing w:after="0" w:line="240" w:lineRule="auto"/>
        <w:ind w:left="-142"/>
        <w:rPr>
          <w:rFonts w:ascii="Arial" w:eastAsia="+mn-ea" w:hAnsi="Arial" w:cs="Arial"/>
          <w:bCs/>
          <w:iCs/>
          <w:color w:val="FFFFFF" w:themeColor="background1"/>
          <w:kern w:val="24"/>
          <w:sz w:val="32"/>
          <w:szCs w:val="32"/>
        </w:rPr>
      </w:pPr>
      <w:r w:rsidRPr="00844C5F">
        <w:rPr>
          <w:rFonts w:ascii="Arial" w:eastAsia="+mj-ea" w:hAnsi="Arial" w:cs="+mj-cs"/>
          <w:bCs/>
          <w:i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lastRenderedPageBreak/>
        <w:t>Progress against the 20</w:t>
      </w:r>
      <w:r w:rsidR="00844C5F">
        <w:rPr>
          <w:rFonts w:ascii="Arial" w:eastAsia="+mj-ea" w:hAnsi="Arial" w:cs="+mj-cs"/>
          <w:bCs/>
          <w:i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>20/21</w:t>
      </w:r>
      <w:r w:rsidRPr="00844C5F">
        <w:rPr>
          <w:rFonts w:ascii="Arial" w:eastAsia="+mj-ea" w:hAnsi="Arial" w:cs="+mj-cs"/>
          <w:bCs/>
          <w:i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 </w:t>
      </w:r>
      <w:r w:rsidR="007C3BFB" w:rsidRPr="00844C5F">
        <w:rPr>
          <w:rFonts w:ascii="Arial" w:eastAsia="+mj-ea" w:hAnsi="Arial" w:cs="+mj-cs"/>
          <w:bCs/>
          <w:i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Internal Audit </w:t>
      </w:r>
      <w:r w:rsidRPr="00844C5F">
        <w:rPr>
          <w:rFonts w:ascii="Arial" w:eastAsia="+mj-ea" w:hAnsi="Arial" w:cs="+mj-cs"/>
          <w:bCs/>
          <w:i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Plan </w:t>
      </w:r>
      <w:r w:rsidR="00B95617" w:rsidRPr="00844C5F">
        <w:rPr>
          <w:rFonts w:ascii="Arial" w:eastAsia="+mj-ea" w:hAnsi="Arial" w:cs="+mj-cs"/>
          <w:bCs/>
          <w:i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at Mid-Year and Q3 </w:t>
      </w:r>
      <w:r w:rsidRPr="00844C5F">
        <w:rPr>
          <w:rFonts w:ascii="Arial" w:eastAsia="+mj-ea" w:hAnsi="Arial" w:cs="+mj-cs"/>
          <w:bCs/>
          <w:i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>including</w:t>
      </w:r>
      <w:r w:rsidR="007C3BFB" w:rsidRPr="00844C5F"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  <w:r w:rsidR="005E54EB" w:rsidRPr="00844C5F">
        <w:rPr>
          <w:rFonts w:ascii="Arial" w:hAnsi="Arial" w:cs="Arial"/>
          <w:color w:val="FFFFFF" w:themeColor="background1"/>
          <w:sz w:val="32"/>
          <w:szCs w:val="32"/>
        </w:rPr>
        <w:t>Assurance Results</w:t>
      </w:r>
      <w:r w:rsidR="00B95617" w:rsidRPr="00844C5F">
        <w:rPr>
          <w:rFonts w:ascii="Arial" w:eastAsia="+mn-ea" w:hAnsi="Arial" w:cs="Arial"/>
          <w:bCs/>
          <w:iCs/>
          <w:color w:val="FFFFFF" w:themeColor="background1"/>
          <w:kern w:val="24"/>
          <w:sz w:val="32"/>
          <w:szCs w:val="32"/>
        </w:rPr>
        <w:t xml:space="preserve"> of Individual Assignments </w:t>
      </w:r>
    </w:p>
    <w:p w14:paraId="4CAB73CE" w14:textId="77777777" w:rsidR="0067101C" w:rsidRDefault="0067101C" w:rsidP="005C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6915B" w14:textId="77777777" w:rsidR="007C3BFB" w:rsidRDefault="007C3BFB" w:rsidP="007C3BFB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</w:pPr>
      <w:r w:rsidRPr="007C3BFB"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 xml:space="preserve">The table below sets out the results of 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>the</w:t>
      </w:r>
      <w:r w:rsidRPr="007C3BFB"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 xml:space="preserve"> internal audit work</w:t>
      </w:r>
      <w:r w:rsidR="00AF3BA0"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 xml:space="preserve"> undertaken so far</w:t>
      </w:r>
      <w:r w:rsidR="0034579C"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>:</w:t>
      </w:r>
      <w:r w:rsidRPr="007C3BFB"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 xml:space="preserve"> </w:t>
      </w:r>
    </w:p>
    <w:p w14:paraId="0D834301" w14:textId="77777777" w:rsidR="007C3BFB" w:rsidRDefault="007C3BFB" w:rsidP="007C3BFB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638"/>
        <w:gridCol w:w="1453"/>
        <w:gridCol w:w="37"/>
        <w:gridCol w:w="1490"/>
        <w:gridCol w:w="1490"/>
        <w:gridCol w:w="1490"/>
      </w:tblGrid>
      <w:tr w:rsidR="00065E7F" w14:paraId="5A7EE215" w14:textId="77777777" w:rsidTr="00290004">
        <w:trPr>
          <w:trHeight w:val="276"/>
        </w:trPr>
        <w:tc>
          <w:tcPr>
            <w:tcW w:w="4638" w:type="dxa"/>
            <w:shd w:val="clear" w:color="auto" w:fill="17365D" w:themeFill="text2" w:themeFillShade="BF"/>
          </w:tcPr>
          <w:p w14:paraId="7FAE22E6" w14:textId="77777777" w:rsidR="00065E7F" w:rsidRDefault="00065E7F" w:rsidP="007C3B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2980" w:type="dxa"/>
            <w:gridSpan w:val="3"/>
            <w:shd w:val="clear" w:color="auto" w:fill="17365D" w:themeFill="text2" w:themeFillShade="BF"/>
          </w:tcPr>
          <w:p w14:paraId="567DD1D5" w14:textId="74AA5180" w:rsidR="00065E7F" w:rsidRDefault="007D5F62" w:rsidP="00DF3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</w:t>
            </w:r>
            <w:r w:rsidR="00065E7F">
              <w:rPr>
                <w:rFonts w:ascii="Arial" w:hAnsi="Arial" w:cs="Arial"/>
                <w:sz w:val="24"/>
                <w:szCs w:val="24"/>
              </w:rPr>
              <w:t xml:space="preserve"> Rating</w:t>
            </w:r>
            <w:r w:rsidR="00AF3BA0">
              <w:rPr>
                <w:rFonts w:ascii="Arial" w:hAnsi="Arial" w:cs="Arial"/>
                <w:sz w:val="24"/>
                <w:szCs w:val="24"/>
              </w:rPr>
              <w:t>/</w:t>
            </w:r>
            <w:r w:rsidR="00DF3F6D">
              <w:rPr>
                <w:rFonts w:ascii="Arial" w:hAnsi="Arial" w:cs="Arial"/>
                <w:sz w:val="24"/>
                <w:szCs w:val="24"/>
              </w:rPr>
              <w:t>Mid</w:t>
            </w:r>
            <w:r w:rsidR="007474DA">
              <w:rPr>
                <w:rFonts w:ascii="Arial" w:hAnsi="Arial" w:cs="Arial"/>
                <w:sz w:val="24"/>
                <w:szCs w:val="24"/>
              </w:rPr>
              <w:t>-</w:t>
            </w:r>
            <w:r w:rsidR="00DF3F6D">
              <w:rPr>
                <w:rFonts w:ascii="Arial" w:hAnsi="Arial" w:cs="Arial"/>
                <w:sz w:val="24"/>
                <w:szCs w:val="24"/>
              </w:rPr>
              <w:t xml:space="preserve"> Year Position</w:t>
            </w:r>
          </w:p>
        </w:tc>
        <w:tc>
          <w:tcPr>
            <w:tcW w:w="2980" w:type="dxa"/>
            <w:gridSpan w:val="2"/>
            <w:shd w:val="clear" w:color="auto" w:fill="17365D" w:themeFill="text2" w:themeFillShade="BF"/>
          </w:tcPr>
          <w:p w14:paraId="33E7B105" w14:textId="77777777" w:rsidR="00065E7F" w:rsidRDefault="00DF3F6D" w:rsidP="00065E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Q3 Progress</w:t>
            </w:r>
          </w:p>
        </w:tc>
      </w:tr>
      <w:tr w:rsidR="00AF40F1" w14:paraId="2C527373" w14:textId="77777777" w:rsidTr="00DF3F6D">
        <w:tc>
          <w:tcPr>
            <w:tcW w:w="10598" w:type="dxa"/>
            <w:gridSpan w:val="6"/>
            <w:shd w:val="clear" w:color="auto" w:fill="8DB3E2" w:themeFill="text2" w:themeFillTint="66"/>
          </w:tcPr>
          <w:p w14:paraId="50B43497" w14:textId="77777777" w:rsidR="00AF40F1" w:rsidRPr="00527924" w:rsidRDefault="00AF40F1" w:rsidP="003C7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Corporate </w:t>
            </w:r>
            <w:r w:rsidR="00965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Compliance Che</w:t>
            </w:r>
            <w:r w:rsidR="003C7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cks</w:t>
            </w:r>
          </w:p>
        </w:tc>
      </w:tr>
      <w:tr w:rsidR="008C70BD" w14:paraId="7EFC04F8" w14:textId="77777777" w:rsidTr="005A3570">
        <w:tc>
          <w:tcPr>
            <w:tcW w:w="4638" w:type="dxa"/>
            <w:tcBorders>
              <w:bottom w:val="single" w:sz="4" w:space="0" w:color="auto"/>
            </w:tcBorders>
          </w:tcPr>
          <w:p w14:paraId="7223E083" w14:textId="0AC98B7C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Contract Procedure Rules (Annual </w:t>
            </w:r>
            <w:r w:rsidR="00116046"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Assurance)  </w:t>
            </w: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               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68E458" w14:textId="77777777" w:rsidR="008C70BD" w:rsidRP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CED66" w14:textId="77777777" w:rsidR="008C70BD" w:rsidRPr="00527924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in Q3/4</w:t>
            </w:r>
          </w:p>
        </w:tc>
      </w:tr>
      <w:tr w:rsidR="008C70BD" w14:paraId="23381813" w14:textId="77777777" w:rsidTr="005A3570">
        <w:tc>
          <w:tcPr>
            <w:tcW w:w="4638" w:type="dxa"/>
            <w:tcBorders>
              <w:bottom w:val="single" w:sz="4" w:space="0" w:color="auto"/>
            </w:tcBorders>
          </w:tcPr>
          <w:p w14:paraId="255790A9" w14:textId="117BBA53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Financial Regulations (Annual </w:t>
            </w:r>
            <w:r w:rsidR="00116046"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Assurance)  </w:t>
            </w: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     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5572E5" w14:textId="77777777" w:rsidR="008C70BD" w:rsidRP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08258A52" w14:textId="618CC891" w:rsidR="008C70BD" w:rsidRPr="00527924" w:rsidRDefault="00701DE9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8C70BD" w14:paraId="63E96DCA" w14:textId="77777777" w:rsidTr="005A3570">
        <w:tc>
          <w:tcPr>
            <w:tcW w:w="4638" w:type="dxa"/>
            <w:tcBorders>
              <w:bottom w:val="single" w:sz="4" w:space="0" w:color="auto"/>
            </w:tcBorders>
          </w:tcPr>
          <w:p w14:paraId="3A0051CA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Adults Financial Assessments (Residential + non-residential)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4E97C3" w14:textId="77777777" w:rsidR="008C70BD" w:rsidRP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1720E477" w14:textId="77777777" w:rsidR="008C70BD" w:rsidRPr="00C825E7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in Q4</w:t>
            </w:r>
          </w:p>
        </w:tc>
      </w:tr>
      <w:tr w:rsidR="008C70BD" w14:paraId="6685A199" w14:textId="77777777" w:rsidTr="005A3570">
        <w:tc>
          <w:tcPr>
            <w:tcW w:w="4638" w:type="dxa"/>
            <w:tcBorders>
              <w:bottom w:val="single" w:sz="4" w:space="0" w:color="auto"/>
            </w:tcBorders>
          </w:tcPr>
          <w:p w14:paraId="0D25BFF1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Adult Social Care - Personal Budgets Monitoring 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41470E" w14:textId="77777777" w:rsidR="008C70BD" w:rsidRP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6F4FE15D" w14:textId="77777777" w:rsidR="008C70BD" w:rsidRPr="00C825E7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in Q4</w:t>
            </w:r>
          </w:p>
        </w:tc>
      </w:tr>
      <w:tr w:rsidR="008C70BD" w14:paraId="05FCC45E" w14:textId="77777777" w:rsidTr="005A3570">
        <w:tc>
          <w:tcPr>
            <w:tcW w:w="4638" w:type="dxa"/>
            <w:tcBorders>
              <w:bottom w:val="single" w:sz="4" w:space="0" w:color="auto"/>
            </w:tcBorders>
          </w:tcPr>
          <w:p w14:paraId="2F954B51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Invoice Payments - adherence to Fin Regs VAT invoice requirements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772903" w14:textId="77777777" w:rsidR="008C70BD" w:rsidRP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2F6D0F9D" w14:textId="77777777" w:rsidR="008C70BD" w:rsidRPr="00C825E7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in Q4</w:t>
            </w:r>
          </w:p>
        </w:tc>
      </w:tr>
      <w:tr w:rsidR="008C70BD" w14:paraId="4CEE4344" w14:textId="77777777" w:rsidTr="005A3570">
        <w:tc>
          <w:tcPr>
            <w:tcW w:w="4638" w:type="dxa"/>
            <w:tcBorders>
              <w:bottom w:val="single" w:sz="4" w:space="0" w:color="auto"/>
            </w:tcBorders>
          </w:tcPr>
          <w:p w14:paraId="4D0604D1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Purchase Card expenditure during Covid-19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F3A861" w14:textId="77777777" w:rsidR="008C70BD" w:rsidRP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C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</w:t>
            </w:r>
          </w:p>
        </w:tc>
        <w:tc>
          <w:tcPr>
            <w:tcW w:w="2980" w:type="dxa"/>
            <w:gridSpan w:val="2"/>
            <w:shd w:val="clear" w:color="auto" w:fill="FFC000"/>
          </w:tcPr>
          <w:p w14:paraId="708F8500" w14:textId="77777777" w:rsidR="008C70BD" w:rsidRPr="005A3570" w:rsidRDefault="008C70BD" w:rsidP="008C70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AMBER</w:t>
            </w:r>
          </w:p>
        </w:tc>
      </w:tr>
      <w:tr w:rsidR="008C70BD" w14:paraId="24805BB9" w14:textId="77777777" w:rsidTr="005A3570">
        <w:tc>
          <w:tcPr>
            <w:tcW w:w="4638" w:type="dxa"/>
            <w:tcBorders>
              <w:bottom w:val="single" w:sz="4" w:space="0" w:color="auto"/>
            </w:tcBorders>
          </w:tcPr>
          <w:p w14:paraId="6B9761B1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Fees &amp; Charges (Annual Assurance)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8BA2E9" w14:textId="77777777" w:rsidR="008C70BD" w:rsidRP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6CF595CA" w14:textId="77777777" w:rsidR="008C70BD" w:rsidRPr="00C825E7" w:rsidRDefault="008C70BD" w:rsidP="008C70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in Q3</w:t>
            </w:r>
          </w:p>
        </w:tc>
      </w:tr>
      <w:tr w:rsidR="008C70BD" w14:paraId="4C6F9C3E" w14:textId="77777777" w:rsidTr="00181E1C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B4B8D10" w14:textId="77777777" w:rsidR="008C70BD" w:rsidRPr="00181E1C" w:rsidRDefault="008C70BD" w:rsidP="008C70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IT Reviews</w:t>
            </w:r>
          </w:p>
        </w:tc>
      </w:tr>
      <w:tr w:rsidR="008C70BD" w14:paraId="444EFC75" w14:textId="77777777" w:rsidTr="00181E1C">
        <w:tc>
          <w:tcPr>
            <w:tcW w:w="4638" w:type="dxa"/>
            <w:tcBorders>
              <w:bottom w:val="single" w:sz="4" w:space="0" w:color="auto"/>
            </w:tcBorders>
          </w:tcPr>
          <w:p w14:paraId="70C9D30F" w14:textId="77777777" w:rsidR="008C70BD" w:rsidRPr="00A9663B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Replacement ERP System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B2CCCE" w14:textId="2B54F228" w:rsidR="008C70BD" w:rsidRPr="00527924" w:rsidRDefault="00305AE9" w:rsidP="008C70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AE9">
              <w:rPr>
                <w:rFonts w:ascii="Arial" w:hAnsi="Arial" w:cs="Arial"/>
                <w:sz w:val="20"/>
                <w:szCs w:val="20"/>
              </w:rPr>
              <w:t>Ongoing audit input to development of replacement ERP system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7B31C" w14:textId="53DFC84E" w:rsidR="008C70BD" w:rsidRPr="00527924" w:rsidRDefault="00701DE9" w:rsidP="008C70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8C70BD" w14:paraId="6E663023" w14:textId="77777777" w:rsidTr="00DF3F6D">
        <w:tc>
          <w:tcPr>
            <w:tcW w:w="10598" w:type="dxa"/>
            <w:gridSpan w:val="6"/>
            <w:shd w:val="clear" w:color="auto" w:fill="8DB3E2" w:themeFill="text2" w:themeFillTint="66"/>
          </w:tcPr>
          <w:p w14:paraId="2537F2B1" w14:textId="77777777" w:rsidR="008C70BD" w:rsidRPr="00527924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Corporate Risk Based Reviews</w:t>
            </w:r>
          </w:p>
        </w:tc>
      </w:tr>
      <w:tr w:rsidR="008C70BD" w14:paraId="126DCEF1" w14:textId="77777777" w:rsidTr="00290004">
        <w:tc>
          <w:tcPr>
            <w:tcW w:w="4638" w:type="dxa"/>
            <w:tcBorders>
              <w:bottom w:val="single" w:sz="4" w:space="0" w:color="auto"/>
            </w:tcBorders>
          </w:tcPr>
          <w:p w14:paraId="6151A5A0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Corporate Governance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4BCF28" w14:textId="57FF0380" w:rsidR="008C70BD" w:rsidRPr="00AF3BA0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2019/20 annual review of governance </w:t>
            </w:r>
            <w:r w:rsidR="00807917">
              <w:rPr>
                <w:rFonts w:ascii="Arial" w:hAnsi="Arial" w:cs="Arial"/>
                <w:sz w:val="20"/>
                <w:szCs w:val="20"/>
              </w:rPr>
              <w:t>completed,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AE9">
              <w:rPr>
                <w:rFonts w:ascii="Arial" w:hAnsi="Arial" w:cs="Arial"/>
                <w:sz w:val="20"/>
                <w:szCs w:val="20"/>
              </w:rPr>
              <w:t>and Annual Governance Statement produced.</w:t>
            </w:r>
          </w:p>
        </w:tc>
        <w:tc>
          <w:tcPr>
            <w:tcW w:w="2980" w:type="dxa"/>
            <w:gridSpan w:val="2"/>
          </w:tcPr>
          <w:p w14:paraId="3B56F7D1" w14:textId="77777777" w:rsidR="008C70BD" w:rsidRPr="00527924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2020/21 annual review of governance to commence Q4</w:t>
            </w:r>
          </w:p>
        </w:tc>
      </w:tr>
      <w:tr w:rsidR="008C70BD" w14:paraId="429B0986" w14:textId="77777777" w:rsidTr="008C70BD">
        <w:tc>
          <w:tcPr>
            <w:tcW w:w="4638" w:type="dxa"/>
            <w:tcBorders>
              <w:bottom w:val="single" w:sz="4" w:space="0" w:color="auto"/>
            </w:tcBorders>
          </w:tcPr>
          <w:p w14:paraId="19A8A801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Follow-up of minor governance gaps 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41E788" w14:textId="77777777" w:rsidR="008C70BD" w:rsidRPr="00AF3BA0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14:paraId="595C3CF3" w14:textId="77777777" w:rsidR="008C70BD" w:rsidRPr="00527924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8C70BD" w14:paraId="7FDE80B7" w14:textId="77777777" w:rsidTr="00290004">
        <w:tc>
          <w:tcPr>
            <w:tcW w:w="4638" w:type="dxa"/>
            <w:tcBorders>
              <w:bottom w:val="single" w:sz="4" w:space="0" w:color="auto"/>
            </w:tcBorders>
          </w:tcPr>
          <w:p w14:paraId="50C92BF3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Risk Registers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A7F40D" w14:textId="1A01DD43" w:rsidR="008C70BD" w:rsidRPr="00AF3BA0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Risk Register updated for Q1</w:t>
            </w:r>
            <w:r w:rsidR="00701DE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4A6A57" w14:textId="7B1E82F4" w:rsidR="008C70BD" w:rsidRPr="00527924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Risk Register updated for Q3</w:t>
            </w:r>
            <w:r w:rsidR="00701D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70BD" w14:paraId="60350CDD" w14:textId="77777777" w:rsidTr="0092154E">
        <w:tc>
          <w:tcPr>
            <w:tcW w:w="4638" w:type="dxa"/>
            <w:tcBorders>
              <w:bottom w:val="single" w:sz="4" w:space="0" w:color="auto"/>
            </w:tcBorders>
          </w:tcPr>
          <w:p w14:paraId="15FCE904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Risk Management Strategy review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83EDBC" w14:textId="77777777" w:rsidR="008C70BD" w:rsidRPr="00527924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41060" w14:textId="1061C94D" w:rsidR="008C70BD" w:rsidRPr="00527924" w:rsidRDefault="0092154E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8C70BD" w14:paraId="2B65DFC9" w14:textId="77777777" w:rsidTr="0092154E">
        <w:tc>
          <w:tcPr>
            <w:tcW w:w="4638" w:type="dxa"/>
            <w:tcBorders>
              <w:bottom w:val="single" w:sz="4" w:space="0" w:color="auto"/>
            </w:tcBorders>
          </w:tcPr>
          <w:p w14:paraId="6E3B59E4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Risk Management in projects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F47756" w14:textId="77777777" w:rsidR="008C70BD" w:rsidRPr="00527924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9313A8" w14:textId="6D0BB360" w:rsidR="008C70BD" w:rsidRPr="00527924" w:rsidRDefault="0092154E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Q4</w:t>
            </w:r>
          </w:p>
        </w:tc>
      </w:tr>
      <w:tr w:rsidR="008C70BD" w14:paraId="4684F142" w14:textId="77777777" w:rsidTr="0092154E">
        <w:tc>
          <w:tcPr>
            <w:tcW w:w="4638" w:type="dxa"/>
            <w:tcBorders>
              <w:bottom w:val="single" w:sz="4" w:space="0" w:color="auto"/>
            </w:tcBorders>
          </w:tcPr>
          <w:p w14:paraId="7E46EDFE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Risk Management in Decision Making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253086" w14:textId="77777777" w:rsidR="008C70BD" w:rsidRPr="00AF3BA0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67C332E9" w14:textId="028EB42B" w:rsidR="008C70BD" w:rsidRPr="00527924" w:rsidRDefault="005D4672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Pro-active review of risk management implications in Cabinet reports </w:t>
            </w:r>
            <w:r w:rsidR="0092154E">
              <w:rPr>
                <w:rFonts w:ascii="Arial" w:hAnsi="Arial" w:cs="Arial"/>
                <w:sz w:val="20"/>
                <w:szCs w:val="20"/>
              </w:rPr>
              <w:t>commenced with December Cabinet.</w:t>
            </w:r>
          </w:p>
        </w:tc>
      </w:tr>
      <w:tr w:rsidR="008C70BD" w14:paraId="461514B4" w14:textId="77777777" w:rsidTr="00305AE9">
        <w:tc>
          <w:tcPr>
            <w:tcW w:w="4638" w:type="dxa"/>
            <w:tcBorders>
              <w:bottom w:val="single" w:sz="4" w:space="0" w:color="auto"/>
            </w:tcBorders>
          </w:tcPr>
          <w:p w14:paraId="75284EEF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Information Governance 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691E7D" w14:textId="42EE76A8" w:rsidR="008C70BD" w:rsidRPr="00AF3BA0" w:rsidRDefault="00305AE9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E9">
              <w:rPr>
                <w:rFonts w:ascii="Arial" w:hAnsi="Arial" w:cs="Arial"/>
                <w:sz w:val="20"/>
                <w:szCs w:val="20"/>
              </w:rPr>
              <w:t xml:space="preserve">The Information Governance Board did not meet in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305AE9">
              <w:rPr>
                <w:rFonts w:ascii="Arial" w:hAnsi="Arial" w:cs="Arial"/>
                <w:sz w:val="20"/>
                <w:szCs w:val="20"/>
              </w:rPr>
              <w:t>uarters 1 &amp; 2 due to lead members being diverted to deal with consequences of the pandemic.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29C35809" w14:textId="70320C3F" w:rsidR="008C70BD" w:rsidRPr="00527924" w:rsidRDefault="00305AE9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Information Governance Board did not meet in Quarter 3.</w:t>
            </w:r>
          </w:p>
        </w:tc>
      </w:tr>
      <w:tr w:rsidR="008C70BD" w14:paraId="2F99393B" w14:textId="77777777" w:rsidTr="0092154E">
        <w:tc>
          <w:tcPr>
            <w:tcW w:w="4638" w:type="dxa"/>
            <w:tcBorders>
              <w:bottom w:val="single" w:sz="4" w:space="0" w:color="auto"/>
            </w:tcBorders>
          </w:tcPr>
          <w:p w14:paraId="31C82983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Valu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ED648C" w14:textId="508FE20D" w:rsidR="008C70BD" w:rsidRPr="008C70BD" w:rsidRDefault="008C70BD" w:rsidP="008C70B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3C374685" w14:textId="3ADFFDF1" w:rsidR="008C70BD" w:rsidRPr="00527924" w:rsidRDefault="0092154E" w:rsidP="00305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progress</w:t>
            </w:r>
          </w:p>
        </w:tc>
      </w:tr>
      <w:tr w:rsidR="008C70BD" w14:paraId="49F61B7C" w14:textId="77777777" w:rsidTr="008C70BD">
        <w:tc>
          <w:tcPr>
            <w:tcW w:w="4638" w:type="dxa"/>
            <w:tcBorders>
              <w:bottom w:val="single" w:sz="4" w:space="0" w:color="auto"/>
            </w:tcBorders>
          </w:tcPr>
          <w:p w14:paraId="243548E7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Income Collection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3A8FCD" w14:textId="77777777" w:rsidR="008C70BD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00AB62B3" w14:textId="77777777" w:rsidR="008C70BD" w:rsidRPr="00527924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in Q4</w:t>
            </w:r>
          </w:p>
        </w:tc>
      </w:tr>
      <w:tr w:rsidR="008C70BD" w14:paraId="06E4A3F4" w14:textId="77777777" w:rsidTr="00DF3F6D">
        <w:tc>
          <w:tcPr>
            <w:tcW w:w="10598" w:type="dxa"/>
            <w:gridSpan w:val="6"/>
            <w:shd w:val="clear" w:color="auto" w:fill="95B3D7" w:themeFill="accent1" w:themeFillTint="99"/>
          </w:tcPr>
          <w:p w14:paraId="01892F35" w14:textId="77777777" w:rsidR="008C70BD" w:rsidRPr="00166E50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Resources Directorate + Core Financial Systems</w:t>
            </w:r>
          </w:p>
        </w:tc>
      </w:tr>
      <w:tr w:rsidR="008C70BD" w14:paraId="6D34F02A" w14:textId="77777777" w:rsidTr="008C70BD">
        <w:tc>
          <w:tcPr>
            <w:tcW w:w="4638" w:type="dxa"/>
          </w:tcPr>
          <w:p w14:paraId="0C7274C1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Housing Benefit         </w:t>
            </w:r>
          </w:p>
        </w:tc>
        <w:tc>
          <w:tcPr>
            <w:tcW w:w="2980" w:type="dxa"/>
            <w:gridSpan w:val="3"/>
            <w:shd w:val="clear" w:color="auto" w:fill="92D050"/>
          </w:tcPr>
          <w:p w14:paraId="1DF5B611" w14:textId="77777777" w:rsidR="008C70BD" w:rsidRPr="009C63B6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</w:tcPr>
          <w:p w14:paraId="765670DE" w14:textId="77777777" w:rsidR="008C70BD" w:rsidRPr="009F02F0" w:rsidRDefault="008C70BD" w:rsidP="008C7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BD" w14:paraId="2448384F" w14:textId="77777777" w:rsidTr="008C70BD">
        <w:tc>
          <w:tcPr>
            <w:tcW w:w="4638" w:type="dxa"/>
          </w:tcPr>
          <w:p w14:paraId="22EE7911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Treasury Management                                        </w:t>
            </w:r>
          </w:p>
        </w:tc>
        <w:tc>
          <w:tcPr>
            <w:tcW w:w="2980" w:type="dxa"/>
            <w:gridSpan w:val="3"/>
            <w:shd w:val="clear" w:color="auto" w:fill="92D050"/>
          </w:tcPr>
          <w:p w14:paraId="31A733C1" w14:textId="77777777" w:rsidR="008C70BD" w:rsidRPr="002C4014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</w:tcPr>
          <w:p w14:paraId="76793DE4" w14:textId="77777777" w:rsidR="008C70BD" w:rsidRPr="009F02F0" w:rsidRDefault="008C70BD" w:rsidP="008C7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BD" w:rsidRPr="00AF40F1" w14:paraId="1C050083" w14:textId="77777777" w:rsidTr="008C70BD">
        <w:trPr>
          <w:trHeight w:val="300"/>
        </w:trPr>
        <w:tc>
          <w:tcPr>
            <w:tcW w:w="4638" w:type="dxa"/>
          </w:tcPr>
          <w:p w14:paraId="01A4F882" w14:textId="4BF02261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Housing 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="00116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evidenced based self-assessment (EBS-A)</w:t>
            </w:r>
          </w:p>
        </w:tc>
        <w:tc>
          <w:tcPr>
            <w:tcW w:w="1453" w:type="dxa"/>
            <w:shd w:val="clear" w:color="auto" w:fill="FFC000"/>
          </w:tcPr>
          <w:p w14:paraId="30DE437B" w14:textId="77777777" w:rsidR="008C70BD" w:rsidRPr="00AF40F1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527" w:type="dxa"/>
            <w:gridSpan w:val="2"/>
            <w:shd w:val="clear" w:color="auto" w:fill="92D050"/>
          </w:tcPr>
          <w:p w14:paraId="59CF9EA0" w14:textId="77777777" w:rsidR="008C70BD" w:rsidRPr="00AF40F1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F40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</w:tcPr>
          <w:p w14:paraId="0D053669" w14:textId="77777777" w:rsidR="008C70BD" w:rsidRPr="009F02F0" w:rsidRDefault="008C70BD" w:rsidP="008C7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BD" w14:paraId="27377873" w14:textId="77777777" w:rsidTr="008C70BD">
        <w:tc>
          <w:tcPr>
            <w:tcW w:w="4638" w:type="dxa"/>
          </w:tcPr>
          <w:p w14:paraId="06F15512" w14:textId="04F3E410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Rates</w:t>
            </w:r>
            <w:r w:rsidR="00701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116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EBS-A</w:t>
            </w:r>
          </w:p>
        </w:tc>
        <w:tc>
          <w:tcPr>
            <w:tcW w:w="1453" w:type="dxa"/>
            <w:shd w:val="clear" w:color="auto" w:fill="FFC000"/>
          </w:tcPr>
          <w:p w14:paraId="73593ED8" w14:textId="77777777" w:rsidR="008C70BD" w:rsidRPr="009C63B6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527" w:type="dxa"/>
            <w:gridSpan w:val="2"/>
            <w:shd w:val="clear" w:color="auto" w:fill="92D050"/>
          </w:tcPr>
          <w:p w14:paraId="41CCE439" w14:textId="77777777" w:rsidR="008C70BD" w:rsidRPr="009C63B6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</w:tcPr>
          <w:p w14:paraId="6C5C2D01" w14:textId="77777777" w:rsidR="008C70BD" w:rsidRPr="009F02F0" w:rsidRDefault="008C70BD" w:rsidP="008C7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BD" w14:paraId="55E6DF05" w14:textId="77777777" w:rsidTr="008C70BD">
        <w:tc>
          <w:tcPr>
            <w:tcW w:w="4638" w:type="dxa"/>
          </w:tcPr>
          <w:p w14:paraId="16149BA3" w14:textId="454BE735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Capital expenditure </w:t>
            </w:r>
            <w:r w:rsidR="00701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– </w:t>
            </w:r>
            <w:r w:rsidR="00116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EBS-A</w:t>
            </w: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2980" w:type="dxa"/>
            <w:gridSpan w:val="3"/>
            <w:shd w:val="clear" w:color="auto" w:fill="92D050"/>
          </w:tcPr>
          <w:p w14:paraId="2FA3771C" w14:textId="77777777" w:rsidR="008C70BD" w:rsidRPr="009C63B6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</w:tcPr>
          <w:p w14:paraId="2D1D3E2C" w14:textId="77777777" w:rsidR="008C70BD" w:rsidRPr="009F02F0" w:rsidRDefault="008C70BD" w:rsidP="008C7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BD" w14:paraId="49840FD2" w14:textId="77777777" w:rsidTr="008C70BD">
        <w:tc>
          <w:tcPr>
            <w:tcW w:w="4638" w:type="dxa"/>
          </w:tcPr>
          <w:p w14:paraId="1506B622" w14:textId="1C7DCD01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Corporate Accounts Receivable </w:t>
            </w:r>
            <w:r w:rsidR="00701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– </w:t>
            </w:r>
            <w:r w:rsidR="00116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EBS-A</w:t>
            </w:r>
            <w:r w:rsidR="00701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2980" w:type="dxa"/>
            <w:gridSpan w:val="3"/>
            <w:shd w:val="clear" w:color="auto" w:fill="92D050"/>
          </w:tcPr>
          <w:p w14:paraId="3D85FEBC" w14:textId="77777777" w:rsidR="008C70BD" w:rsidRPr="009C63B6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</w:tcPr>
          <w:p w14:paraId="588A379B" w14:textId="77777777" w:rsidR="008C70BD" w:rsidRPr="009F02F0" w:rsidRDefault="008C70BD" w:rsidP="008C7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BD" w14:paraId="0AA4891F" w14:textId="77777777" w:rsidTr="008C70BD">
        <w:tc>
          <w:tcPr>
            <w:tcW w:w="4638" w:type="dxa"/>
          </w:tcPr>
          <w:p w14:paraId="6A5FD54F" w14:textId="043F7536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Corporate Accounts Payable</w:t>
            </w:r>
            <w:r w:rsidR="00116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EBS-A</w:t>
            </w: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980" w:type="dxa"/>
            <w:gridSpan w:val="3"/>
            <w:shd w:val="clear" w:color="auto" w:fill="92D050"/>
          </w:tcPr>
          <w:p w14:paraId="798738B9" w14:textId="77777777" w:rsidR="008C70BD" w:rsidRPr="009C63B6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</w:tcPr>
          <w:p w14:paraId="5398092B" w14:textId="77777777" w:rsidR="008C70BD" w:rsidRPr="009F02F0" w:rsidRDefault="008C70BD" w:rsidP="008C7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BD" w14:paraId="56FB46DF" w14:textId="77777777" w:rsidTr="008C70BD">
        <w:tc>
          <w:tcPr>
            <w:tcW w:w="4638" w:type="dxa"/>
          </w:tcPr>
          <w:p w14:paraId="652D1D36" w14:textId="61E2EC2F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Payroll</w:t>
            </w:r>
            <w:r w:rsidR="00116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EBS-A</w:t>
            </w: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</w:p>
        </w:tc>
        <w:tc>
          <w:tcPr>
            <w:tcW w:w="2980" w:type="dxa"/>
            <w:gridSpan w:val="3"/>
            <w:shd w:val="clear" w:color="auto" w:fill="92D050"/>
          </w:tcPr>
          <w:p w14:paraId="0EC68E3E" w14:textId="77777777" w:rsidR="008C70BD" w:rsidRPr="009C63B6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</w:tcPr>
          <w:p w14:paraId="724B8A08" w14:textId="77777777" w:rsidR="008C70BD" w:rsidRPr="009F02F0" w:rsidRDefault="008C70BD" w:rsidP="008C7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BD" w14:paraId="38054B49" w14:textId="77777777" w:rsidTr="008C70BD">
        <w:tc>
          <w:tcPr>
            <w:tcW w:w="4638" w:type="dxa"/>
          </w:tcPr>
          <w:p w14:paraId="00DABD7F" w14:textId="64B5C9D0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Council Tax</w:t>
            </w:r>
            <w:r w:rsidR="00116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EBS-A</w:t>
            </w: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</w:t>
            </w:r>
          </w:p>
        </w:tc>
        <w:tc>
          <w:tcPr>
            <w:tcW w:w="1490" w:type="dxa"/>
            <w:gridSpan w:val="2"/>
            <w:shd w:val="clear" w:color="auto" w:fill="FFC000"/>
          </w:tcPr>
          <w:p w14:paraId="62A45480" w14:textId="77777777" w:rsidR="008C70BD" w:rsidRPr="009C63B6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490" w:type="dxa"/>
            <w:shd w:val="clear" w:color="auto" w:fill="92D050"/>
          </w:tcPr>
          <w:p w14:paraId="554AA883" w14:textId="77777777" w:rsidR="008C70BD" w:rsidRPr="009C63B6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</w:tcPr>
          <w:p w14:paraId="2C2F921E" w14:textId="77777777" w:rsidR="008C70BD" w:rsidRPr="009F02F0" w:rsidRDefault="008C70BD" w:rsidP="008C70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BD" w14:paraId="5AECA380" w14:textId="77777777" w:rsidTr="009C5D3D">
        <w:tc>
          <w:tcPr>
            <w:tcW w:w="4638" w:type="dxa"/>
          </w:tcPr>
          <w:p w14:paraId="3E2606D0" w14:textId="490479FE" w:rsidR="008C70BD" w:rsidRPr="00B35E82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Covid-19 Grants</w:t>
            </w:r>
            <w:r w:rsidR="00116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80" w:type="dxa"/>
            <w:gridSpan w:val="3"/>
            <w:shd w:val="clear" w:color="auto" w:fill="BFBFBF" w:themeFill="background1" w:themeFillShade="BF"/>
          </w:tcPr>
          <w:p w14:paraId="53E0247D" w14:textId="77777777" w:rsid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</w:tcPr>
          <w:p w14:paraId="58E4C1D3" w14:textId="77777777" w:rsidR="008C70BD" w:rsidRPr="009F02F0" w:rsidRDefault="009C5D3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8C70BD" w14:paraId="70654C5B" w14:textId="77777777" w:rsidTr="00DF3F6D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3495C43" w14:textId="77777777" w:rsidR="008C70BD" w:rsidRPr="00166E50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Directorate Risk Based Reviews</w:t>
            </w:r>
          </w:p>
        </w:tc>
      </w:tr>
      <w:tr w:rsidR="008C70BD" w14:paraId="21DD5EA5" w14:textId="77777777" w:rsidTr="00DF3F6D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2F2CFA" w14:textId="77777777" w:rsidR="008C70BD" w:rsidRPr="00166E50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Community</w:t>
            </w:r>
          </w:p>
        </w:tc>
      </w:tr>
      <w:tr w:rsidR="008C70BD" w14:paraId="4B8E1C6F" w14:textId="77777777" w:rsidTr="0092154E">
        <w:tc>
          <w:tcPr>
            <w:tcW w:w="4638" w:type="dxa"/>
            <w:tcBorders>
              <w:bottom w:val="single" w:sz="4" w:space="0" w:color="auto"/>
            </w:tcBorders>
          </w:tcPr>
          <w:p w14:paraId="4484A21A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Major Projects - Depot Redevelopment Additional Works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2F4BA832" w14:textId="77777777" w:rsidR="008C70BD" w:rsidRPr="002C4014" w:rsidRDefault="009C5D3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2980" w:type="dxa"/>
            <w:gridSpan w:val="2"/>
            <w:shd w:val="clear" w:color="auto" w:fill="FFFFFF" w:themeFill="background1"/>
          </w:tcPr>
          <w:p w14:paraId="04805D76" w14:textId="04F5A8E0" w:rsidR="008C70BD" w:rsidRPr="004D32FB" w:rsidRDefault="0092154E" w:rsidP="00701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Follow-up in progress</w:t>
            </w:r>
          </w:p>
        </w:tc>
      </w:tr>
      <w:tr w:rsidR="008C70BD" w14:paraId="32CEAF30" w14:textId="77777777" w:rsidTr="009C5D3D">
        <w:tc>
          <w:tcPr>
            <w:tcW w:w="4638" w:type="dxa"/>
            <w:tcBorders>
              <w:bottom w:val="single" w:sz="4" w:space="0" w:color="auto"/>
            </w:tcBorders>
          </w:tcPr>
          <w:p w14:paraId="25E59A61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Major Projects - Grange Farm/Depot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603CB9" w14:textId="77777777" w:rsidR="008C70BD" w:rsidRPr="00883799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2B067BF8" w14:textId="77777777" w:rsidR="008C70BD" w:rsidRPr="00883799" w:rsidRDefault="009C5D3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Due in Q2/3</w:t>
            </w:r>
          </w:p>
        </w:tc>
      </w:tr>
      <w:tr w:rsidR="008C70BD" w14:paraId="37087C85" w14:textId="77777777" w:rsidTr="009C5D3D">
        <w:tc>
          <w:tcPr>
            <w:tcW w:w="4638" w:type="dxa"/>
            <w:tcBorders>
              <w:bottom w:val="single" w:sz="4" w:space="0" w:color="auto"/>
            </w:tcBorders>
          </w:tcPr>
          <w:p w14:paraId="3E2392F6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 Subsidy Grant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C9CEFD" w14:textId="77777777" w:rsidR="008C70BD" w:rsidRPr="00290004" w:rsidRDefault="009C5D3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 claim completed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</w:tcPr>
          <w:p w14:paraId="5A16C821" w14:textId="77777777" w:rsidR="008C70BD" w:rsidRPr="002C4014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C5D3D" w14:paraId="61AD316A" w14:textId="77777777" w:rsidTr="009C5D3D">
        <w:tc>
          <w:tcPr>
            <w:tcW w:w="4638" w:type="dxa"/>
            <w:tcBorders>
              <w:bottom w:val="single" w:sz="4" w:space="0" w:color="auto"/>
            </w:tcBorders>
          </w:tcPr>
          <w:p w14:paraId="5B9DCEAF" w14:textId="77777777" w:rsidR="009C5D3D" w:rsidRPr="00181E1C" w:rsidRDefault="009C5D3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Empty Property Grant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(VFM)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0EFDA5" w14:textId="77777777" w:rsidR="009C5D3D" w:rsidRPr="00883799" w:rsidRDefault="009C5D3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C000"/>
          </w:tcPr>
          <w:p w14:paraId="6A257642" w14:textId="77777777" w:rsidR="009C5D3D" w:rsidRPr="009C5D3D" w:rsidRDefault="009C5D3D" w:rsidP="008C70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AMBER</w:t>
            </w:r>
          </w:p>
        </w:tc>
        <w:tc>
          <w:tcPr>
            <w:tcW w:w="1490" w:type="dxa"/>
            <w:shd w:val="clear" w:color="auto" w:fill="92D050"/>
          </w:tcPr>
          <w:p w14:paraId="3A36C195" w14:textId="77777777" w:rsidR="009C5D3D" w:rsidRPr="009C5D3D" w:rsidRDefault="009C5D3D" w:rsidP="008C70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</w:p>
        </w:tc>
      </w:tr>
      <w:tr w:rsidR="008C70BD" w14:paraId="5EB96A56" w14:textId="77777777" w:rsidTr="009C5D3D">
        <w:tc>
          <w:tcPr>
            <w:tcW w:w="4638" w:type="dxa"/>
            <w:tcBorders>
              <w:bottom w:val="single" w:sz="4" w:space="0" w:color="auto"/>
            </w:tcBorders>
          </w:tcPr>
          <w:p w14:paraId="4C4DA9DE" w14:textId="77777777" w:rsidR="008C70BD" w:rsidRPr="00181E1C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1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Discretionary Grants Fund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7A74E0" w14:textId="77777777" w:rsidR="008C70BD" w:rsidRPr="00883799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26E29D4D" w14:textId="77777777" w:rsidR="008C70BD" w:rsidRPr="004D32FB" w:rsidRDefault="009C5D3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in Q3</w:t>
            </w:r>
          </w:p>
        </w:tc>
      </w:tr>
      <w:tr w:rsidR="008C70BD" w14:paraId="22DCE5CC" w14:textId="77777777" w:rsidTr="00DF3F6D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A315D81" w14:textId="77777777" w:rsidR="008C70BD" w:rsidRPr="004D32FB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People</w:t>
            </w:r>
          </w:p>
        </w:tc>
      </w:tr>
      <w:tr w:rsidR="008C70BD" w14:paraId="7EBAE375" w14:textId="77777777" w:rsidTr="00951018">
        <w:tc>
          <w:tcPr>
            <w:tcW w:w="4638" w:type="dxa"/>
            <w:tcBorders>
              <w:bottom w:val="single" w:sz="4" w:space="0" w:color="auto"/>
            </w:tcBorders>
          </w:tcPr>
          <w:p w14:paraId="0F6884FA" w14:textId="77777777" w:rsidR="008C70BD" w:rsidRPr="005A3570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3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 w:type="page"/>
              <w:t>Together with Families Programme (Troubled Families Grant)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C21156" w14:textId="1677C7E3" w:rsidR="008C70BD" w:rsidRPr="00E36743" w:rsidRDefault="00E36743" w:rsidP="008C70B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674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367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E36743">
              <w:rPr>
                <w:rFonts w:ascii="Arial" w:hAnsi="Arial" w:cs="Arial"/>
                <w:bCs/>
                <w:sz w:val="20"/>
                <w:szCs w:val="20"/>
              </w:rPr>
              <w:t xml:space="preserve"> claim completed</w:t>
            </w:r>
            <w:r w:rsidR="005D4672">
              <w:rPr>
                <w:rFonts w:ascii="Arial" w:hAnsi="Arial" w:cs="Arial"/>
                <w:bCs/>
                <w:sz w:val="20"/>
                <w:szCs w:val="20"/>
              </w:rPr>
              <w:t xml:space="preserve"> in Q2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2B1FD1A8" w14:textId="5F49DEE0" w:rsidR="008C70BD" w:rsidRPr="004D32FB" w:rsidRDefault="00E36743" w:rsidP="00E3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3674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claim </w:t>
            </w:r>
            <w:r w:rsidR="005D4672">
              <w:rPr>
                <w:rFonts w:ascii="Arial" w:hAnsi="Arial" w:cs="Arial"/>
                <w:sz w:val="20"/>
                <w:szCs w:val="20"/>
              </w:rPr>
              <w:t>completed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Q3</w:t>
            </w:r>
          </w:p>
        </w:tc>
      </w:tr>
      <w:tr w:rsidR="008C70BD" w14:paraId="65224CD6" w14:textId="77777777" w:rsidTr="009C5D3D">
        <w:tc>
          <w:tcPr>
            <w:tcW w:w="4638" w:type="dxa"/>
            <w:tcBorders>
              <w:bottom w:val="single" w:sz="4" w:space="0" w:color="auto"/>
            </w:tcBorders>
          </w:tcPr>
          <w:p w14:paraId="62B50001" w14:textId="77777777" w:rsidR="008C70BD" w:rsidRPr="005A3570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3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Test &amp; Trace Grant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CE13FC" w14:textId="77777777" w:rsidR="008C70BD" w:rsidRPr="002C4014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00E17A6D" w14:textId="77777777" w:rsidR="008C70BD" w:rsidRPr="004D32FB" w:rsidRDefault="009C5D3D" w:rsidP="009C5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in Q4</w:t>
            </w:r>
          </w:p>
        </w:tc>
      </w:tr>
      <w:tr w:rsidR="008C70BD" w14:paraId="349ABF5F" w14:textId="77777777" w:rsidTr="009C5D3D">
        <w:tc>
          <w:tcPr>
            <w:tcW w:w="4638" w:type="dxa"/>
            <w:tcBorders>
              <w:bottom w:val="single" w:sz="4" w:space="0" w:color="auto"/>
            </w:tcBorders>
          </w:tcPr>
          <w:p w14:paraId="6FEA9225" w14:textId="77777777" w:rsid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Woodlands Investigation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F58A08" w14:textId="77777777" w:rsidR="008C70BD" w:rsidRPr="002C4014" w:rsidRDefault="008C70BD" w:rsidP="008C70BD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FFC000"/>
          </w:tcPr>
          <w:p w14:paraId="2ABD20A9" w14:textId="77777777" w:rsidR="008C70BD" w:rsidRPr="009C5D3D" w:rsidRDefault="009C5D3D" w:rsidP="008C70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3D">
              <w:rPr>
                <w:rFonts w:ascii="Arial" w:hAnsi="Arial" w:cs="Arial"/>
                <w:b/>
                <w:bCs/>
                <w:sz w:val="20"/>
                <w:szCs w:val="20"/>
              </w:rPr>
              <w:t>AMBER</w:t>
            </w:r>
          </w:p>
        </w:tc>
      </w:tr>
      <w:tr w:rsidR="008C70BD" w14:paraId="768D5D6A" w14:textId="77777777" w:rsidTr="00977790">
        <w:tc>
          <w:tcPr>
            <w:tcW w:w="4638" w:type="dxa"/>
            <w:tcBorders>
              <w:bottom w:val="single" w:sz="4" w:space="0" w:color="auto"/>
            </w:tcBorders>
          </w:tcPr>
          <w:p w14:paraId="2FAC8065" w14:textId="77777777" w:rsid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Whitmore School Finance Review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C67737" w14:textId="77777777" w:rsidR="008C70BD" w:rsidRPr="00355612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92D050"/>
          </w:tcPr>
          <w:p w14:paraId="63D82842" w14:textId="77777777" w:rsidR="008C70BD" w:rsidRPr="00977790" w:rsidRDefault="00977790" w:rsidP="009777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</w:p>
        </w:tc>
      </w:tr>
      <w:tr w:rsidR="008C70BD" w14:paraId="1190D074" w14:textId="77777777" w:rsidTr="009C5D3D">
        <w:tc>
          <w:tcPr>
            <w:tcW w:w="4638" w:type="dxa"/>
            <w:tcBorders>
              <w:bottom w:val="single" w:sz="4" w:space="0" w:color="auto"/>
            </w:tcBorders>
          </w:tcPr>
          <w:p w14:paraId="2845ABDD" w14:textId="77777777" w:rsid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Elmgrove School Budgetary Control &amp; Management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DEF69C" w14:textId="77777777" w:rsidR="008C70BD" w:rsidRPr="00355612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6BA7706C" w14:textId="77777777" w:rsidR="008C70BD" w:rsidRPr="004D32FB" w:rsidRDefault="00E36743" w:rsidP="00E3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8C70BD" w14:paraId="3D2A9748" w14:textId="77777777" w:rsidTr="009C5D3D">
        <w:tc>
          <w:tcPr>
            <w:tcW w:w="4638" w:type="dxa"/>
            <w:tcBorders>
              <w:bottom w:val="single" w:sz="4" w:space="0" w:color="auto"/>
            </w:tcBorders>
          </w:tcPr>
          <w:p w14:paraId="7B99B74C" w14:textId="77777777" w:rsidR="008C70BD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Lodge School Budgetary Control &amp; Management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19D18C" w14:textId="77777777" w:rsidR="008C70BD" w:rsidRPr="002C4014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2088DA47" w14:textId="77777777" w:rsidR="008C70BD" w:rsidRPr="004D32FB" w:rsidRDefault="00E36743" w:rsidP="00E3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8C70BD" w14:paraId="47E67508" w14:textId="77777777" w:rsidTr="009C5D3D">
        <w:tc>
          <w:tcPr>
            <w:tcW w:w="4638" w:type="dxa"/>
            <w:tcBorders>
              <w:bottom w:val="single" w:sz="4" w:space="0" w:color="auto"/>
            </w:tcBorders>
          </w:tcPr>
          <w:p w14:paraId="25FA758E" w14:textId="77777777" w:rsidR="008C70BD" w:rsidRPr="00141CBE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Kenmore Park Junior School Budgetary Control &amp; Management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7C9E9B" w14:textId="77777777" w:rsidR="008C70BD" w:rsidRPr="002C4014" w:rsidRDefault="008C70BD" w:rsidP="008C70BD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0BDD67DE" w14:textId="77777777" w:rsidR="008C70BD" w:rsidRPr="004D32FB" w:rsidRDefault="00E36743" w:rsidP="00E3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8C70BD" w14:paraId="29762D04" w14:textId="77777777" w:rsidTr="00FC4A2B">
        <w:tc>
          <w:tcPr>
            <w:tcW w:w="4638" w:type="dxa"/>
          </w:tcPr>
          <w:p w14:paraId="6F249563" w14:textId="77777777" w:rsidR="008C70BD" w:rsidRPr="00141CBE" w:rsidRDefault="008C70BD" w:rsidP="008C70BD">
            <w:pPr>
              <w:tabs>
                <w:tab w:val="left" w:pos="984"/>
              </w:tabs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Cedars Manor School Budgetary Control &amp; Management</w:t>
            </w:r>
          </w:p>
        </w:tc>
        <w:tc>
          <w:tcPr>
            <w:tcW w:w="2980" w:type="dxa"/>
            <w:gridSpan w:val="3"/>
            <w:shd w:val="clear" w:color="auto" w:fill="BFBFBF" w:themeFill="background1" w:themeFillShade="BF"/>
          </w:tcPr>
          <w:p w14:paraId="6983DCDD" w14:textId="77777777" w:rsidR="008C70BD" w:rsidRPr="00355612" w:rsidRDefault="008C70BD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02BD0BB1" w14:textId="77777777" w:rsidR="008C70BD" w:rsidRPr="00E36743" w:rsidRDefault="00E36743" w:rsidP="00E367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6743">
              <w:rPr>
                <w:rFonts w:ascii="Arial" w:hAnsi="Arial" w:cs="Arial"/>
                <w:bCs/>
                <w:sz w:val="20"/>
                <w:szCs w:val="20"/>
              </w:rPr>
              <w:t>In progress</w:t>
            </w:r>
          </w:p>
        </w:tc>
      </w:tr>
      <w:tr w:rsidR="00FC4A2B" w14:paraId="5CDDA1AA" w14:textId="77777777" w:rsidTr="009C5D3D">
        <w:tc>
          <w:tcPr>
            <w:tcW w:w="4638" w:type="dxa"/>
            <w:tcBorders>
              <w:bottom w:val="single" w:sz="4" w:space="0" w:color="auto"/>
            </w:tcBorders>
          </w:tcPr>
          <w:p w14:paraId="35A9B046" w14:textId="77777777" w:rsidR="00FC4A2B" w:rsidRDefault="00FC4A2B" w:rsidP="008C70BD">
            <w:pPr>
              <w:tabs>
                <w:tab w:val="left" w:pos="984"/>
              </w:tabs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Schools x3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DC324A" w14:textId="77777777" w:rsidR="00FC4A2B" w:rsidRPr="00355612" w:rsidRDefault="00FC4A2B" w:rsidP="008C7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1F8217F4" w14:textId="77777777" w:rsidR="00FC4A2B" w:rsidRPr="00E36743" w:rsidRDefault="00FC4A2B" w:rsidP="00E367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Due Q4</w:t>
            </w:r>
          </w:p>
        </w:tc>
      </w:tr>
    </w:tbl>
    <w:p w14:paraId="3D8FCF2C" w14:textId="77777777" w:rsidR="00DF3F6D" w:rsidRDefault="00DF3F6D" w:rsidP="007C3BFB">
      <w:pPr>
        <w:spacing w:after="0" w:line="240" w:lineRule="auto"/>
        <w:rPr>
          <w:rFonts w:ascii="Arial" w:eastAsia="+mn-ea" w:hAnsi="Arial" w:cs="Arial"/>
          <w:b/>
          <w:bCs/>
          <w:iCs/>
          <w:kern w:val="24"/>
          <w:sz w:val="24"/>
          <w:szCs w:val="24"/>
        </w:rPr>
      </w:pPr>
    </w:p>
    <w:p w14:paraId="510BB1B6" w14:textId="77777777" w:rsidR="00DF3F6D" w:rsidRDefault="00DF3F6D" w:rsidP="007C3BFB">
      <w:pPr>
        <w:spacing w:after="0" w:line="240" w:lineRule="auto"/>
        <w:rPr>
          <w:rFonts w:ascii="Arial" w:eastAsia="+mn-ea" w:hAnsi="Arial" w:cs="Arial"/>
          <w:b/>
          <w:bCs/>
          <w:iCs/>
          <w:kern w:val="24"/>
          <w:sz w:val="24"/>
          <w:szCs w:val="24"/>
        </w:rPr>
      </w:pPr>
    </w:p>
    <w:p w14:paraId="48AD6E14" w14:textId="77777777" w:rsidR="000F73B2" w:rsidRDefault="00730037">
      <w:pPr>
        <w:spacing w:after="0" w:line="240" w:lineRule="auto"/>
        <w:rPr>
          <w:rFonts w:ascii="Arial" w:eastAsia="+mn-ea" w:hAnsi="Arial" w:cs="Arial"/>
          <w:bCs/>
          <w:iCs/>
          <w:kern w:val="24"/>
          <w:sz w:val="24"/>
          <w:szCs w:val="24"/>
        </w:rPr>
      </w:pP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Final </w:t>
      </w:r>
      <w:r w:rsidR="00097937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r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ed and </w:t>
      </w:r>
      <w:r w:rsidR="00097937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r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ed/</w:t>
      </w:r>
      <w:r w:rsidR="00097937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a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mber assurance reports are presented to the GARMS Committee individually for review and comment with relevant managers attending the meetings.  </w:t>
      </w:r>
    </w:p>
    <w:p w14:paraId="4064E2BC" w14:textId="77777777" w:rsidR="00E87231" w:rsidRPr="007E1F76" w:rsidRDefault="00E87231" w:rsidP="007C3BFB">
      <w:pPr>
        <w:spacing w:after="0" w:line="240" w:lineRule="auto"/>
        <w:rPr>
          <w:rFonts w:ascii="Arial" w:eastAsia="+mn-ea" w:hAnsi="Arial" w:cs="Arial"/>
          <w:bCs/>
          <w:iCs/>
          <w:kern w:val="24"/>
          <w:sz w:val="24"/>
          <w:szCs w:val="24"/>
        </w:rPr>
      </w:pPr>
    </w:p>
    <w:p w14:paraId="795B2E98" w14:textId="77777777" w:rsidR="007E1F76" w:rsidRDefault="007E1F76" w:rsidP="007C3BFB">
      <w:pPr>
        <w:spacing w:after="0" w:line="240" w:lineRule="auto"/>
        <w:rPr>
          <w:rFonts w:ascii="Arial" w:eastAsia="+mn-ea" w:hAnsi="Arial" w:cs="Arial"/>
          <w:b/>
          <w:bCs/>
          <w:iCs/>
          <w:kern w:val="24"/>
          <w:sz w:val="24"/>
          <w:szCs w:val="24"/>
        </w:rPr>
      </w:pPr>
    </w:p>
    <w:p w14:paraId="3A17776D" w14:textId="77777777" w:rsidR="00E25269" w:rsidRDefault="00E25269">
      <w:pPr>
        <w:spacing w:after="0" w:line="240" w:lineRule="auto"/>
        <w:rPr>
          <w:rFonts w:ascii="Arial" w:hAnsi="Arial" w:cs="Arial"/>
          <w:color w:val="FFFFFF" w:themeColor="background1"/>
          <w:sz w:val="32"/>
          <w:szCs w:val="32"/>
        </w:rPr>
      </w:pPr>
      <w:r>
        <w:rPr>
          <w:rFonts w:ascii="Arial" w:hAnsi="Arial" w:cs="Arial"/>
          <w:color w:val="FFFFFF" w:themeColor="background1"/>
          <w:sz w:val="32"/>
          <w:szCs w:val="32"/>
        </w:rPr>
        <w:br w:type="page"/>
      </w:r>
    </w:p>
    <w:p w14:paraId="314D7454" w14:textId="77777777" w:rsidR="007D5F62" w:rsidRPr="004E6157" w:rsidRDefault="000F59D4" w:rsidP="007244A4">
      <w:pPr>
        <w:shd w:val="clear" w:color="auto" w:fill="17365D" w:themeFill="text2" w:themeFillShade="BF"/>
        <w:spacing w:after="0" w:line="240" w:lineRule="auto"/>
        <w:ind w:left="-142"/>
        <w:rPr>
          <w:rFonts w:ascii="Arial" w:hAnsi="Arial" w:cs="Arial"/>
          <w:color w:val="FFFFFF" w:themeColor="background1"/>
          <w:sz w:val="32"/>
          <w:szCs w:val="32"/>
        </w:rPr>
      </w:pPr>
      <w:r w:rsidRPr="004E6157">
        <w:rPr>
          <w:rFonts w:ascii="Arial" w:hAnsi="Arial" w:cs="Arial"/>
          <w:color w:val="FFFFFF" w:themeColor="background1"/>
          <w:sz w:val="32"/>
          <w:szCs w:val="32"/>
        </w:rPr>
        <w:lastRenderedPageBreak/>
        <w:t>Follow Up Work Conducted</w:t>
      </w:r>
      <w:r w:rsidR="001E78EF">
        <w:rPr>
          <w:rFonts w:ascii="Arial" w:hAnsi="Arial" w:cs="Arial"/>
          <w:color w:val="FFFFFF" w:themeColor="background1"/>
          <w:sz w:val="32"/>
          <w:szCs w:val="32"/>
        </w:rPr>
        <w:t>/Due</w:t>
      </w:r>
    </w:p>
    <w:p w14:paraId="03748B4B" w14:textId="77777777" w:rsidR="000F59D4" w:rsidRPr="007244A4" w:rsidRDefault="000F59D4" w:rsidP="000F59D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9106861" w14:textId="77777777" w:rsidR="00D86F82" w:rsidRPr="0094765E" w:rsidRDefault="00D86F82" w:rsidP="00B31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94765E">
        <w:rPr>
          <w:rFonts w:ascii="Arial" w:eastAsia="+mn-ea" w:hAnsi="Arial" w:cs="+mn-cs"/>
          <w:b/>
          <w:bCs/>
          <w:iCs/>
          <w:color w:val="242852"/>
          <w:kern w:val="24"/>
          <w:sz w:val="24"/>
          <w:szCs w:val="24"/>
          <w:lang w:eastAsia="en-GB"/>
        </w:rPr>
        <w:t>Introduction</w:t>
      </w:r>
    </w:p>
    <w:p w14:paraId="75812A8D" w14:textId="77777777" w:rsidR="00D86F82" w:rsidRPr="0094765E" w:rsidRDefault="00D86F82" w:rsidP="00B31A03">
      <w:pPr>
        <w:spacing w:after="0" w:line="240" w:lineRule="auto"/>
        <w:rPr>
          <w:rFonts w:ascii="Arial" w:eastAsia="+mn-ea" w:hAnsi="Arial" w:cs="+mn-cs"/>
          <w:b/>
          <w:bCs/>
          <w:iCs/>
          <w:color w:val="242852"/>
          <w:kern w:val="24"/>
          <w:sz w:val="24"/>
          <w:szCs w:val="24"/>
          <w:lang w:eastAsia="en-GB"/>
        </w:rPr>
      </w:pP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In order for the </w:t>
      </w:r>
      <w:r w:rsid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Council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to derive maximum benefit from internal audit, agreed actions should be implemented. </w:t>
      </w:r>
      <w:r w:rsid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Whilst management </w:t>
      </w:r>
      <w:r w:rsidR="00EC3DD5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is</w:t>
      </w:r>
      <w:r w:rsid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responsible for implementing recommendations, </w:t>
      </w:r>
      <w:r w:rsidR="0094765E"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in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accordance with </w:t>
      </w:r>
      <w:r w:rsidR="0094765E"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the 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internal audit p</w:t>
      </w:r>
      <w:r w:rsidR="00565F52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rotocol</w:t>
      </w:r>
      <w:r w:rsidR="00873A43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follow-ups of recommendations are undertaken for </w:t>
      </w:r>
      <w:r w:rsidR="00FB7987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Red, Red/Amber &amp; Amber</w:t>
      </w:r>
      <w:r w:rsidR="00873A43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assurance reports</w:t>
      </w:r>
      <w:r w:rsidR="00565F52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and </w:t>
      </w:r>
      <w:r w:rsidR="00565F52">
        <w:rPr>
          <w:rFonts w:ascii="Arial" w:eastAsia="Times New Roman" w:hAnsi="Arial" w:cs="Arial"/>
          <w:sz w:val="24"/>
          <w:szCs w:val="24"/>
          <w:lang w:eastAsia="en-GB"/>
        </w:rPr>
        <w:t>report recommendations are followed-up until at least an Amber assurance rating is achieved</w:t>
      </w:r>
      <w:r w:rsidR="00873A43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.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The table below </w:t>
      </w:r>
      <w:r w:rsidRPr="00873A43">
        <w:rPr>
          <w:rFonts w:ascii="Arial" w:eastAsia="+mn-ea" w:hAnsi="Arial" w:cs="+mn-cs"/>
          <w:color w:val="000000"/>
          <w:kern w:val="24"/>
          <w:sz w:val="24"/>
          <w:szCs w:val="24"/>
          <w:lang w:eastAsia="en-GB"/>
        </w:rPr>
        <w:t>summarises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the follow up work performed</w:t>
      </w:r>
      <w:r w:rsidR="00873A43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during 20</w:t>
      </w:r>
      <w:r w:rsidR="00FB7987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20/21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.</w:t>
      </w:r>
    </w:p>
    <w:tbl>
      <w:tblPr>
        <w:tblStyle w:val="TableGrid"/>
        <w:tblW w:w="11026" w:type="dxa"/>
        <w:tblLayout w:type="fixed"/>
        <w:tblLook w:val="04A0" w:firstRow="1" w:lastRow="0" w:firstColumn="1" w:lastColumn="0" w:noHBand="0" w:noVBand="1"/>
      </w:tblPr>
      <w:tblGrid>
        <w:gridCol w:w="2660"/>
        <w:gridCol w:w="1304"/>
        <w:gridCol w:w="44"/>
        <w:gridCol w:w="1348"/>
        <w:gridCol w:w="1417"/>
        <w:gridCol w:w="71"/>
        <w:gridCol w:w="1489"/>
        <w:gridCol w:w="2693"/>
      </w:tblGrid>
      <w:tr w:rsidR="00881A39" w14:paraId="53F54C23" w14:textId="77777777" w:rsidTr="00C721DD">
        <w:trPr>
          <w:cantSplit/>
          <w:trHeight w:val="20"/>
          <w:tblHeader/>
        </w:trPr>
        <w:tc>
          <w:tcPr>
            <w:tcW w:w="2660" w:type="dxa"/>
            <w:shd w:val="clear" w:color="auto" w:fill="17365D" w:themeFill="text2" w:themeFillShade="BF"/>
          </w:tcPr>
          <w:p w14:paraId="774A50D7" w14:textId="77777777" w:rsidR="00881A39" w:rsidRPr="00D86F82" w:rsidRDefault="00881A39" w:rsidP="00D86F82">
            <w:pPr>
              <w:spacing w:after="12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D86F8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Review</w:t>
            </w:r>
          </w:p>
        </w:tc>
        <w:tc>
          <w:tcPr>
            <w:tcW w:w="2696" w:type="dxa"/>
            <w:gridSpan w:val="3"/>
            <w:shd w:val="clear" w:color="auto" w:fill="17365D" w:themeFill="text2" w:themeFillShade="BF"/>
          </w:tcPr>
          <w:p w14:paraId="790C3E6A" w14:textId="77777777" w:rsidR="00881A39" w:rsidRDefault="00881A39" w:rsidP="00D86F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Original Assurance Rating</w:t>
            </w:r>
          </w:p>
        </w:tc>
        <w:tc>
          <w:tcPr>
            <w:tcW w:w="2977" w:type="dxa"/>
            <w:gridSpan w:val="3"/>
            <w:shd w:val="clear" w:color="auto" w:fill="17365D" w:themeFill="text2" w:themeFillShade="BF"/>
          </w:tcPr>
          <w:p w14:paraId="65C36184" w14:textId="77777777" w:rsidR="00881A39" w:rsidRPr="00D86F82" w:rsidRDefault="00881A39" w:rsidP="00881A3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Re-Assessed Assurance Rating at Mid Year / Comments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1380EC48" w14:textId="77777777" w:rsidR="00881A39" w:rsidRDefault="00881A39" w:rsidP="0079034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Re-Assessed Assurance Rating at Q3 / Comments</w:t>
            </w:r>
          </w:p>
        </w:tc>
      </w:tr>
      <w:tr w:rsidR="00FC06ED" w14:paraId="18F99D93" w14:textId="77777777" w:rsidTr="001E1FF4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0476CD95" w14:textId="57F9AA0C" w:rsidR="00FC06ED" w:rsidRDefault="00FC06ED" w:rsidP="00FB7987">
            <w:pPr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Parking Whistleblowing</w:t>
            </w:r>
            <w:r w:rsidR="009F3BF5">
              <w:rPr>
                <w:rStyle w:val="FootnoteReference"/>
                <w:rFonts w:ascii="Arial" w:hAnsi="Arial" w:cs="Arial"/>
                <w:bCs/>
                <w:sz w:val="20"/>
                <w:szCs w:val="20"/>
                <w:lang w:val="en-US"/>
              </w:rPr>
              <w:footnoteReference w:id="1"/>
            </w:r>
          </w:p>
          <w:p w14:paraId="5CB99210" w14:textId="77777777" w:rsidR="00FB7987" w:rsidRPr="00BE7A42" w:rsidRDefault="00FB7987" w:rsidP="00FB7987">
            <w:pPr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96" w:type="dxa"/>
            <w:gridSpan w:val="3"/>
            <w:shd w:val="clear" w:color="auto" w:fill="FF0000"/>
          </w:tcPr>
          <w:p w14:paraId="56254DD9" w14:textId="77777777" w:rsidR="00FC06ED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1417" w:type="dxa"/>
            <w:shd w:val="clear" w:color="auto" w:fill="FFC000"/>
          </w:tcPr>
          <w:p w14:paraId="70285618" w14:textId="77777777" w:rsidR="00FC06ED" w:rsidRPr="00BE7A42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560" w:type="dxa"/>
            <w:gridSpan w:val="2"/>
            <w:shd w:val="clear" w:color="auto" w:fill="92D050"/>
          </w:tcPr>
          <w:p w14:paraId="567BD5DF" w14:textId="77777777" w:rsidR="00FC06ED" w:rsidRPr="00BE7A42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7C8AF4A" w14:textId="77777777" w:rsidR="00FC06ED" w:rsidRDefault="00FC06ED" w:rsidP="00FB7987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FC06ED" w14:paraId="114B2A9B" w14:textId="77777777" w:rsidTr="001E1FF4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3B1ED543" w14:textId="77777777" w:rsidR="00FC06ED" w:rsidRPr="00BE7A42" w:rsidRDefault="00FC06ED" w:rsidP="00FB7987">
            <w:pPr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Pinner Park School – Gov &amp; FIn Controls</w:t>
            </w:r>
          </w:p>
        </w:tc>
        <w:tc>
          <w:tcPr>
            <w:tcW w:w="1304" w:type="dxa"/>
            <w:shd w:val="clear" w:color="auto" w:fill="FFC000"/>
          </w:tcPr>
          <w:p w14:paraId="28E84269" w14:textId="77777777" w:rsidR="00FC06ED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392" w:type="dxa"/>
            <w:gridSpan w:val="2"/>
            <w:shd w:val="clear" w:color="auto" w:fill="92D050"/>
          </w:tcPr>
          <w:p w14:paraId="71486C2A" w14:textId="77777777" w:rsidR="00FC06ED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77" w:type="dxa"/>
            <w:gridSpan w:val="3"/>
            <w:shd w:val="clear" w:color="auto" w:fill="92D050"/>
          </w:tcPr>
          <w:p w14:paraId="026A860A" w14:textId="77777777" w:rsidR="00FC06ED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BA4EDFF" w14:textId="77777777" w:rsidR="00FC06ED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FC06ED" w14:paraId="5BF98061" w14:textId="77777777" w:rsidTr="001E1FF4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0BAE340F" w14:textId="77777777" w:rsidR="00FC06ED" w:rsidRDefault="00FC06ED" w:rsidP="00FB798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Council Tax KC </w:t>
            </w:r>
          </w:p>
          <w:p w14:paraId="350FDC52" w14:textId="77777777" w:rsidR="00FB7987" w:rsidRPr="00FC06ED" w:rsidRDefault="00FB7987" w:rsidP="00FB798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FFC000"/>
          </w:tcPr>
          <w:p w14:paraId="3C840A75" w14:textId="77777777" w:rsidR="00FC06ED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392" w:type="dxa"/>
            <w:gridSpan w:val="2"/>
            <w:shd w:val="clear" w:color="auto" w:fill="92D050"/>
          </w:tcPr>
          <w:p w14:paraId="30920E16" w14:textId="77777777" w:rsidR="00FC06ED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488" w:type="dxa"/>
            <w:gridSpan w:val="2"/>
            <w:shd w:val="clear" w:color="auto" w:fill="FFC000"/>
          </w:tcPr>
          <w:p w14:paraId="6E3324D3" w14:textId="77777777" w:rsidR="00FC06ED" w:rsidRPr="00545298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489" w:type="dxa"/>
            <w:shd w:val="clear" w:color="auto" w:fill="92D050"/>
          </w:tcPr>
          <w:p w14:paraId="3B18B3C1" w14:textId="77777777" w:rsidR="00FC06ED" w:rsidRPr="00545298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DB4CBC1" w14:textId="77777777" w:rsidR="00FC06ED" w:rsidRPr="00545298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FC06ED" w14:paraId="004FE4B2" w14:textId="77777777" w:rsidTr="001E1FF4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0DBEFE34" w14:textId="77777777" w:rsidR="00FC06ED" w:rsidRDefault="00FC06ED" w:rsidP="00FB798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Harrow Arts Centre</w:t>
            </w:r>
          </w:p>
          <w:p w14:paraId="732AD91E" w14:textId="77777777" w:rsidR="00FB7987" w:rsidRDefault="00FB7987" w:rsidP="00FB798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gridSpan w:val="3"/>
            <w:shd w:val="clear" w:color="auto" w:fill="FFC000"/>
          </w:tcPr>
          <w:p w14:paraId="4DD857FF" w14:textId="77777777" w:rsidR="00FC06ED" w:rsidRDefault="00FC06ED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7FB4B477" w14:textId="77777777" w:rsidR="00FC06ED" w:rsidRPr="00790346" w:rsidRDefault="00FC06ED" w:rsidP="00FB798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27C2979" w14:textId="77777777" w:rsidR="00FC06ED" w:rsidRPr="00790346" w:rsidRDefault="00FC06ED" w:rsidP="00FB798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FF4" w14:paraId="687371A0" w14:textId="77777777" w:rsidTr="001E1FF4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14053D0F" w14:textId="77777777" w:rsidR="001E1FF4" w:rsidRDefault="001E1FF4" w:rsidP="00FB7987">
            <w:pPr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  <w:t>Kenmore Park Infants Pay Policy</w:t>
            </w:r>
          </w:p>
        </w:tc>
        <w:tc>
          <w:tcPr>
            <w:tcW w:w="1348" w:type="dxa"/>
            <w:gridSpan w:val="2"/>
            <w:shd w:val="clear" w:color="auto" w:fill="FFC000"/>
          </w:tcPr>
          <w:p w14:paraId="28042B5D" w14:textId="77777777" w:rsidR="001E1FF4" w:rsidRDefault="001E1FF4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348" w:type="dxa"/>
            <w:shd w:val="clear" w:color="auto" w:fill="92D050"/>
          </w:tcPr>
          <w:p w14:paraId="4300587F" w14:textId="77777777" w:rsidR="001E1FF4" w:rsidRDefault="001E1FF4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77" w:type="dxa"/>
            <w:gridSpan w:val="3"/>
            <w:shd w:val="clear" w:color="auto" w:fill="92D050"/>
          </w:tcPr>
          <w:p w14:paraId="7F4FD7A6" w14:textId="77777777" w:rsidR="001E1FF4" w:rsidRPr="00BE7A42" w:rsidRDefault="001E1FF4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5110181" w14:textId="77777777" w:rsidR="001E1FF4" w:rsidRDefault="001E1FF4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2D2D9C" w14:paraId="74ECB712" w14:textId="77777777" w:rsidTr="002D2D9C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2FDAF712" w14:textId="77777777" w:rsidR="002D2D9C" w:rsidRDefault="002D2D9C" w:rsidP="00FB7987">
            <w:pPr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  <w:t>Grange School – Gov &amp; Fin Controls</w:t>
            </w:r>
          </w:p>
        </w:tc>
        <w:tc>
          <w:tcPr>
            <w:tcW w:w="1348" w:type="dxa"/>
            <w:gridSpan w:val="2"/>
            <w:shd w:val="clear" w:color="auto" w:fill="FFC000"/>
          </w:tcPr>
          <w:p w14:paraId="7E452F3F" w14:textId="77777777" w:rsidR="002D2D9C" w:rsidRDefault="002D2D9C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348" w:type="dxa"/>
            <w:shd w:val="clear" w:color="auto" w:fill="92D050"/>
          </w:tcPr>
          <w:p w14:paraId="3F328F8E" w14:textId="77777777" w:rsidR="002D2D9C" w:rsidRDefault="002D2D9C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14:paraId="11BA043E" w14:textId="77777777" w:rsidR="002D2D9C" w:rsidRPr="00C76451" w:rsidRDefault="002D2D9C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92D050"/>
          </w:tcPr>
          <w:p w14:paraId="28418735" w14:textId="77777777" w:rsidR="002D2D9C" w:rsidRPr="00881A39" w:rsidRDefault="002D2D9C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BE3227" w14:paraId="53D0B0A5" w14:textId="77777777" w:rsidTr="00740D3A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38381DEF" w14:textId="77777777" w:rsidR="00BE3227" w:rsidRDefault="00740D3A" w:rsidP="00FB7987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Fostering</w:t>
            </w:r>
          </w:p>
          <w:p w14:paraId="5BE11EFB" w14:textId="77777777" w:rsidR="00FB7987" w:rsidRDefault="00FB7987" w:rsidP="00FB7987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gridSpan w:val="3"/>
            <w:shd w:val="clear" w:color="auto" w:fill="FFC000"/>
          </w:tcPr>
          <w:p w14:paraId="666E761F" w14:textId="77777777" w:rsidR="00BE3227" w:rsidRDefault="00740D3A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14:paraId="36B67587" w14:textId="77777777" w:rsidR="00BE3227" w:rsidRDefault="00BE3227" w:rsidP="00FB7987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</w:tcPr>
          <w:p w14:paraId="10C795F6" w14:textId="77777777" w:rsidR="00BE3227" w:rsidRPr="003C311C" w:rsidRDefault="00740D3A" w:rsidP="00FB798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</w:tr>
      <w:tr w:rsidR="00881A39" w14:paraId="3F9FE3DF" w14:textId="77777777" w:rsidTr="00FB7987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08157F37" w14:textId="77777777" w:rsidR="00881A39" w:rsidRDefault="00FB7987" w:rsidP="00FB7987">
            <w:pPr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  <w:t>Payroll</w:t>
            </w:r>
          </w:p>
          <w:p w14:paraId="3BBE0938" w14:textId="77777777" w:rsidR="00FB7987" w:rsidRDefault="00FB7987" w:rsidP="00FB7987">
            <w:pPr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gridSpan w:val="3"/>
            <w:shd w:val="clear" w:color="auto" w:fill="92D050"/>
          </w:tcPr>
          <w:p w14:paraId="04747194" w14:textId="77777777" w:rsidR="00881A39" w:rsidRDefault="00FB7987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14:paraId="0235F224" w14:textId="77777777" w:rsidR="00881A39" w:rsidRDefault="00881A39" w:rsidP="00FB798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92D050"/>
          </w:tcPr>
          <w:p w14:paraId="6A970B78" w14:textId="77777777" w:rsidR="00881A39" w:rsidRPr="00FB7987" w:rsidRDefault="00FB7987" w:rsidP="00FB7987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</w:p>
        </w:tc>
      </w:tr>
      <w:tr w:rsidR="00FB7987" w14:paraId="74A17395" w14:textId="77777777" w:rsidTr="00FB7987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73F5B45B" w14:textId="77777777" w:rsidR="00FB7987" w:rsidRDefault="00FB7987" w:rsidP="00FB7987">
            <w:pPr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  <w:t>IT Access Control – CapitaOne</w:t>
            </w:r>
          </w:p>
        </w:tc>
        <w:tc>
          <w:tcPr>
            <w:tcW w:w="1348" w:type="dxa"/>
            <w:gridSpan w:val="2"/>
            <w:shd w:val="clear" w:color="auto" w:fill="FFC000"/>
          </w:tcPr>
          <w:p w14:paraId="3414F8CD" w14:textId="77777777" w:rsidR="00FB7987" w:rsidRDefault="00FB7987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348" w:type="dxa"/>
            <w:shd w:val="clear" w:color="auto" w:fill="92D050"/>
          </w:tcPr>
          <w:p w14:paraId="2399A020" w14:textId="77777777" w:rsidR="00FB7987" w:rsidRDefault="00FB7987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14:paraId="57A0A252" w14:textId="77777777" w:rsidR="00FB7987" w:rsidRPr="00BE7A42" w:rsidRDefault="00FB7987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92D050"/>
          </w:tcPr>
          <w:p w14:paraId="4880148E" w14:textId="77777777" w:rsidR="00FB7987" w:rsidRPr="00FB7987" w:rsidRDefault="00FB7987" w:rsidP="00FB7987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</w:p>
        </w:tc>
      </w:tr>
      <w:tr w:rsidR="00FB7987" w14:paraId="5F6B0653" w14:textId="77777777" w:rsidTr="00FB7987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70DC1FD3" w14:textId="77777777" w:rsidR="00FB7987" w:rsidRDefault="00FB7987" w:rsidP="00FB7987">
            <w:pPr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  <w:t>Housing Landlord Responsibilities</w:t>
            </w:r>
          </w:p>
        </w:tc>
        <w:tc>
          <w:tcPr>
            <w:tcW w:w="2696" w:type="dxa"/>
            <w:gridSpan w:val="3"/>
            <w:shd w:val="clear" w:color="auto" w:fill="BFBFBF" w:themeFill="background1" w:themeFillShade="BF"/>
          </w:tcPr>
          <w:p w14:paraId="47BDD5DE" w14:textId="77777777" w:rsidR="00FB7987" w:rsidRDefault="00FB7987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C274FF" w14:textId="77777777" w:rsidR="00FB7987" w:rsidRDefault="00FB7987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70F4230" w14:textId="77777777" w:rsidR="00FB7987" w:rsidRDefault="00FB7987" w:rsidP="00FB7987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881A39" w14:paraId="5E29A46C" w14:textId="77777777" w:rsidTr="00FB7987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27DE84A8" w14:textId="77777777" w:rsidR="00881A39" w:rsidRDefault="00FB7987" w:rsidP="00FB7987">
            <w:pPr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  <w:t>Personal Budgets CYAD (0-18)</w:t>
            </w:r>
          </w:p>
        </w:tc>
        <w:tc>
          <w:tcPr>
            <w:tcW w:w="2696" w:type="dxa"/>
            <w:gridSpan w:val="3"/>
            <w:shd w:val="clear" w:color="auto" w:fill="BFBFBF" w:themeFill="background1" w:themeFillShade="BF"/>
          </w:tcPr>
          <w:p w14:paraId="1E93E717" w14:textId="77777777" w:rsidR="00881A39" w:rsidRDefault="00881A39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1530D4" w14:textId="77777777" w:rsidR="00881A39" w:rsidRDefault="00881A39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6FEF5D4" w14:textId="77777777" w:rsidR="00881A39" w:rsidRDefault="00FB7987" w:rsidP="00FB7987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881A39" w14:paraId="7A0E8BD3" w14:textId="77777777" w:rsidTr="00FB7987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7E95BE57" w14:textId="77777777" w:rsidR="00881A39" w:rsidRPr="00BE7A42" w:rsidRDefault="00FB7987" w:rsidP="00FB7987">
            <w:pPr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Homelessness Preventative Work</w:t>
            </w:r>
          </w:p>
        </w:tc>
        <w:tc>
          <w:tcPr>
            <w:tcW w:w="2696" w:type="dxa"/>
            <w:gridSpan w:val="3"/>
            <w:shd w:val="clear" w:color="auto" w:fill="BFBFBF" w:themeFill="background1" w:themeFillShade="BF"/>
          </w:tcPr>
          <w:p w14:paraId="51B3FA27" w14:textId="77777777" w:rsidR="00881A39" w:rsidRDefault="00881A39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14:paraId="00908F66" w14:textId="77777777" w:rsidR="00881A39" w:rsidRPr="00D375F1" w:rsidRDefault="00881A39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4D9FEBE" w14:textId="77777777" w:rsidR="00881A39" w:rsidRDefault="00FB7987" w:rsidP="00FB798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</w:t>
            </w:r>
          </w:p>
        </w:tc>
      </w:tr>
      <w:tr w:rsidR="00881A39" w14:paraId="5C43538A" w14:textId="77777777" w:rsidTr="00FB7987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14:paraId="1B1709ED" w14:textId="77777777" w:rsidR="00881A39" w:rsidRPr="00FB7987" w:rsidRDefault="00FB7987" w:rsidP="00FB7987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Empty Property Grant Process</w:t>
            </w:r>
          </w:p>
        </w:tc>
        <w:tc>
          <w:tcPr>
            <w:tcW w:w="2696" w:type="dxa"/>
            <w:gridSpan w:val="3"/>
            <w:shd w:val="clear" w:color="auto" w:fill="BFBFBF" w:themeFill="background1" w:themeFillShade="BF"/>
          </w:tcPr>
          <w:p w14:paraId="5DE48EB4" w14:textId="77777777" w:rsidR="00881A39" w:rsidRDefault="00881A39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14:paraId="244385C8" w14:textId="77777777" w:rsidR="00881A39" w:rsidRPr="00D375F1" w:rsidRDefault="00881A39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D6FFCD5" w14:textId="77777777" w:rsidR="00881A39" w:rsidRPr="00D375F1" w:rsidRDefault="00FB7987" w:rsidP="00FB798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</w:t>
            </w:r>
          </w:p>
        </w:tc>
      </w:tr>
    </w:tbl>
    <w:p w14:paraId="19FEBB81" w14:textId="77777777" w:rsidR="00D86F82" w:rsidRDefault="00D86F82" w:rsidP="00D86F8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C6C0F9D" w14:textId="77777777" w:rsidR="00844C96" w:rsidRPr="00CB7485" w:rsidRDefault="00844C96" w:rsidP="00B31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7485">
        <w:rPr>
          <w:rFonts w:ascii="Arial" w:eastAsia="+mn-ea" w:hAnsi="Arial" w:cs="+mn-cs"/>
          <w:b/>
          <w:bCs/>
          <w:iCs/>
          <w:color w:val="242852"/>
          <w:kern w:val="24"/>
          <w:sz w:val="24"/>
          <w:szCs w:val="24"/>
          <w:lang w:eastAsia="en-GB"/>
        </w:rPr>
        <w:t>Summary</w:t>
      </w:r>
      <w:r w:rsidR="00371F94">
        <w:rPr>
          <w:rFonts w:ascii="Arial" w:eastAsia="+mn-ea" w:hAnsi="Arial" w:cs="+mn-cs"/>
          <w:b/>
          <w:bCs/>
          <w:iCs/>
          <w:color w:val="242852"/>
          <w:kern w:val="24"/>
          <w:sz w:val="24"/>
          <w:szCs w:val="24"/>
          <w:lang w:eastAsia="en-GB"/>
        </w:rPr>
        <w:t xml:space="preserve"> (as at end Q</w:t>
      </w:r>
      <w:r w:rsidR="00740D3A">
        <w:rPr>
          <w:rFonts w:ascii="Arial" w:eastAsia="+mn-ea" w:hAnsi="Arial" w:cs="+mn-cs"/>
          <w:b/>
          <w:bCs/>
          <w:iCs/>
          <w:color w:val="242852"/>
          <w:kern w:val="24"/>
          <w:sz w:val="24"/>
          <w:szCs w:val="24"/>
          <w:lang w:eastAsia="en-GB"/>
        </w:rPr>
        <w:t>2</w:t>
      </w:r>
      <w:r w:rsidR="00371F94">
        <w:rPr>
          <w:rFonts w:ascii="Arial" w:eastAsia="+mn-ea" w:hAnsi="Arial" w:cs="+mn-cs"/>
          <w:b/>
          <w:bCs/>
          <w:iCs/>
          <w:color w:val="242852"/>
          <w:kern w:val="24"/>
          <w:sz w:val="24"/>
          <w:szCs w:val="24"/>
          <w:lang w:eastAsia="en-GB"/>
        </w:rPr>
        <w:t>)</w:t>
      </w:r>
    </w:p>
    <w:p w14:paraId="389FEC60" w14:textId="77777777" w:rsidR="00FB7987" w:rsidRDefault="00FD54FA" w:rsidP="00B31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987">
        <w:rPr>
          <w:rFonts w:ascii="Arial" w:hAnsi="Arial" w:cs="Arial"/>
          <w:sz w:val="24"/>
          <w:szCs w:val="24"/>
        </w:rPr>
        <w:t>7</w:t>
      </w:r>
      <w:r w:rsidR="00FB7987" w:rsidRPr="00FB7987">
        <w:rPr>
          <w:rFonts w:ascii="Arial" w:hAnsi="Arial" w:cs="Arial"/>
          <w:sz w:val="24"/>
          <w:szCs w:val="24"/>
        </w:rPr>
        <w:t>9</w:t>
      </w:r>
      <w:r w:rsidR="00CB7485" w:rsidRPr="00FB7987">
        <w:rPr>
          <w:rFonts w:ascii="Arial" w:hAnsi="Arial" w:cs="Arial"/>
          <w:sz w:val="24"/>
          <w:szCs w:val="24"/>
        </w:rPr>
        <w:t xml:space="preserve">% of recommendations were implemented/substantially implemented at the time of follow-up, with a further </w:t>
      </w:r>
      <w:r w:rsidRPr="00FB7987">
        <w:rPr>
          <w:rFonts w:ascii="Arial" w:hAnsi="Arial" w:cs="Arial"/>
          <w:sz w:val="24"/>
          <w:szCs w:val="24"/>
        </w:rPr>
        <w:t>15</w:t>
      </w:r>
      <w:r w:rsidR="00CB7485" w:rsidRPr="00FB7987">
        <w:rPr>
          <w:rFonts w:ascii="Arial" w:hAnsi="Arial" w:cs="Arial"/>
          <w:sz w:val="24"/>
          <w:szCs w:val="24"/>
        </w:rPr>
        <w:t xml:space="preserve">% in progress and </w:t>
      </w:r>
      <w:r w:rsidR="00FB7987" w:rsidRPr="00FB7987">
        <w:rPr>
          <w:rFonts w:ascii="Arial" w:hAnsi="Arial" w:cs="Arial"/>
          <w:sz w:val="24"/>
          <w:szCs w:val="24"/>
        </w:rPr>
        <w:t>6</w:t>
      </w:r>
      <w:r w:rsidR="00CB7485" w:rsidRPr="00FB7987">
        <w:rPr>
          <w:rFonts w:ascii="Arial" w:hAnsi="Arial" w:cs="Arial"/>
          <w:sz w:val="24"/>
          <w:szCs w:val="24"/>
        </w:rPr>
        <w:t>% planned. All of the recommendations were still considered appropriate by management and thus it is expected that in due course 100% will be implemented.</w:t>
      </w:r>
    </w:p>
    <w:p w14:paraId="6A3BFFC1" w14:textId="77777777" w:rsidR="007D5F62" w:rsidRPr="00FB7987" w:rsidRDefault="00CB7485" w:rsidP="00B31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987">
        <w:rPr>
          <w:rFonts w:ascii="Arial" w:hAnsi="Arial" w:cs="Arial"/>
          <w:sz w:val="24"/>
          <w:szCs w:val="24"/>
        </w:rPr>
        <w:t xml:space="preserve">  </w:t>
      </w:r>
    </w:p>
    <w:p w14:paraId="1ACF8A00" w14:textId="77777777" w:rsidR="00097937" w:rsidRDefault="006C3876" w:rsidP="00B31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987">
        <w:rPr>
          <w:rFonts w:ascii="Arial" w:hAnsi="Arial" w:cs="Arial"/>
          <w:sz w:val="24"/>
          <w:szCs w:val="24"/>
        </w:rPr>
        <w:t xml:space="preserve">All follow-ups </w:t>
      </w:r>
      <w:r w:rsidR="00C173FD" w:rsidRPr="00FB7987">
        <w:rPr>
          <w:rFonts w:ascii="Arial" w:hAnsi="Arial" w:cs="Arial"/>
          <w:sz w:val="24"/>
          <w:szCs w:val="24"/>
        </w:rPr>
        <w:t xml:space="preserve">undertaken </w:t>
      </w:r>
      <w:r w:rsidRPr="00FB7987">
        <w:rPr>
          <w:rFonts w:ascii="Arial" w:hAnsi="Arial" w:cs="Arial"/>
          <w:sz w:val="24"/>
          <w:szCs w:val="24"/>
        </w:rPr>
        <w:t xml:space="preserve">resulted in an improved assurance rating with 100% attaining an </w:t>
      </w:r>
      <w:r w:rsidR="00FB7987" w:rsidRPr="00FB7987">
        <w:rPr>
          <w:rFonts w:ascii="Arial" w:hAnsi="Arial" w:cs="Arial"/>
          <w:sz w:val="24"/>
          <w:szCs w:val="24"/>
        </w:rPr>
        <w:t>a</w:t>
      </w:r>
      <w:r w:rsidRPr="00FB7987">
        <w:rPr>
          <w:rFonts w:ascii="Arial" w:hAnsi="Arial" w:cs="Arial"/>
          <w:sz w:val="24"/>
          <w:szCs w:val="24"/>
        </w:rPr>
        <w:t>mber/green or green assurance rating</w:t>
      </w:r>
      <w:r w:rsidR="00371F94" w:rsidRPr="00FB7987">
        <w:rPr>
          <w:rFonts w:ascii="Arial" w:hAnsi="Arial" w:cs="Arial"/>
          <w:sz w:val="24"/>
          <w:szCs w:val="24"/>
        </w:rPr>
        <w:t xml:space="preserve"> by the end of Q</w:t>
      </w:r>
      <w:r w:rsidR="00740D3A" w:rsidRPr="00FB7987">
        <w:rPr>
          <w:rFonts w:ascii="Arial" w:hAnsi="Arial" w:cs="Arial"/>
          <w:sz w:val="24"/>
          <w:szCs w:val="24"/>
        </w:rPr>
        <w:t>2</w:t>
      </w:r>
      <w:r w:rsidR="00097937" w:rsidRPr="00FB7987">
        <w:rPr>
          <w:rFonts w:ascii="Arial" w:hAnsi="Arial" w:cs="Arial"/>
          <w:sz w:val="24"/>
          <w:szCs w:val="24"/>
        </w:rPr>
        <w:t>.</w:t>
      </w:r>
      <w:r w:rsidR="00291D60" w:rsidRPr="00FB7987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097937" w:rsidRPr="00FB7987">
        <w:rPr>
          <w:rFonts w:ascii="Arial" w:hAnsi="Arial" w:cs="Arial"/>
          <w:sz w:val="24"/>
          <w:szCs w:val="24"/>
        </w:rPr>
        <w:t xml:space="preserve"> </w:t>
      </w:r>
    </w:p>
    <w:p w14:paraId="26EDD148" w14:textId="77777777" w:rsidR="00B31A03" w:rsidRDefault="00B31A03" w:rsidP="007C3B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82823D" w14:textId="77777777" w:rsidR="007E1F76" w:rsidRDefault="00B31A03" w:rsidP="007C3B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follow ups are currently on hold due to the current situation as staff have either been deployed on to other areas or there is a reduced workforce.</w:t>
      </w:r>
    </w:p>
    <w:p w14:paraId="5A762BA0" w14:textId="77777777" w:rsidR="001276EA" w:rsidRDefault="00881A39" w:rsidP="00371F94">
      <w:pPr>
        <w:spacing w:after="0" w:line="240" w:lineRule="auto"/>
        <w:rPr>
          <w:rFonts w:ascii="Arial" w:hAnsi="Arial" w:cs="Arial"/>
          <w:b/>
          <w:sz w:val="40"/>
          <w:szCs w:val="40"/>
          <w:shd w:val="clear" w:color="auto" w:fill="FFFFFF" w:themeFill="background1"/>
        </w:rPr>
      </w:pPr>
      <w:r>
        <w:rPr>
          <w:rFonts w:ascii="Arial" w:hAnsi="Arial" w:cs="Arial"/>
          <w:b/>
          <w:sz w:val="40"/>
          <w:szCs w:val="40"/>
          <w:shd w:val="clear" w:color="auto" w:fill="17365D" w:themeFill="text2" w:themeFillShade="BF"/>
        </w:rPr>
        <w:br w:type="page"/>
      </w:r>
      <w:r w:rsidR="001276EA" w:rsidRPr="001276EA">
        <w:rPr>
          <w:rFonts w:ascii="Arial" w:hAnsi="Arial" w:cs="Arial"/>
          <w:b/>
          <w:sz w:val="40"/>
          <w:szCs w:val="40"/>
          <w:shd w:val="clear" w:color="auto" w:fill="17365D" w:themeFill="text2" w:themeFillShade="BF"/>
        </w:rPr>
        <w:lastRenderedPageBreak/>
        <w:t>Performance of Internal Audit</w:t>
      </w:r>
      <w:r w:rsidR="00371F94">
        <w:rPr>
          <w:rFonts w:ascii="Arial" w:hAnsi="Arial" w:cs="Arial"/>
          <w:b/>
          <w:sz w:val="40"/>
          <w:szCs w:val="40"/>
          <w:shd w:val="clear" w:color="auto" w:fill="17365D" w:themeFill="text2" w:themeFillShade="BF"/>
        </w:rPr>
        <w:t xml:space="preserve"> at Mid-Year </w:t>
      </w:r>
      <w:r w:rsidR="001276EA" w:rsidRPr="001276EA">
        <w:rPr>
          <w:rFonts w:ascii="Arial" w:hAnsi="Arial" w:cs="Arial"/>
          <w:b/>
          <w:sz w:val="40"/>
          <w:szCs w:val="40"/>
          <w:shd w:val="clear" w:color="auto" w:fill="FFFFFF" w:themeFill="background1"/>
        </w:rPr>
        <w:t xml:space="preserve"> </w:t>
      </w:r>
    </w:p>
    <w:p w14:paraId="027490A4" w14:textId="77777777" w:rsidR="001276EA" w:rsidRDefault="001276EA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DD8C30" w14:textId="77777777" w:rsidR="00097937" w:rsidRDefault="00097937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 </w:t>
      </w:r>
    </w:p>
    <w:p w14:paraId="6A57F883" w14:textId="77777777" w:rsidR="00097937" w:rsidRDefault="00097937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E599B9" w14:textId="77777777" w:rsidR="001276EA" w:rsidRDefault="001276EA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Key Performance Indicators (KPIs) were agreed as part of the 20</w:t>
      </w:r>
      <w:r w:rsidR="00C85156">
        <w:rPr>
          <w:rFonts w:ascii="Arial" w:hAnsi="Arial" w:cs="Arial"/>
          <w:sz w:val="24"/>
          <w:szCs w:val="24"/>
        </w:rPr>
        <w:t>20/21</w:t>
      </w:r>
      <w:r>
        <w:rPr>
          <w:rFonts w:ascii="Arial" w:hAnsi="Arial" w:cs="Arial"/>
          <w:sz w:val="24"/>
          <w:szCs w:val="24"/>
        </w:rPr>
        <w:t xml:space="preserve"> Internal Audit Plan and performance against these is set out in the table below:</w:t>
      </w:r>
    </w:p>
    <w:p w14:paraId="424729C5" w14:textId="77777777" w:rsidR="001276EA" w:rsidRDefault="001276EA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3413"/>
        <w:gridCol w:w="993"/>
        <w:gridCol w:w="1134"/>
        <w:gridCol w:w="3344"/>
      </w:tblGrid>
      <w:tr w:rsidR="00E4366B" w14:paraId="3DBA90B1" w14:textId="77777777" w:rsidTr="007B0E1E">
        <w:tc>
          <w:tcPr>
            <w:tcW w:w="664" w:type="dxa"/>
            <w:shd w:val="clear" w:color="auto" w:fill="17365D" w:themeFill="text2" w:themeFillShade="BF"/>
          </w:tcPr>
          <w:p w14:paraId="3F1A430F" w14:textId="77777777" w:rsidR="00E4366B" w:rsidRPr="007B0E1E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17365D" w:themeFill="text2" w:themeFillShade="BF"/>
          </w:tcPr>
          <w:p w14:paraId="6D8B5DC7" w14:textId="77777777" w:rsidR="00E4366B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Internal Audit </w:t>
            </w:r>
          </w:p>
          <w:p w14:paraId="16999880" w14:textId="77777777" w:rsidR="00E4366B" w:rsidRPr="007B0E1E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E1E">
              <w:rPr>
                <w:rFonts w:ascii="Arial" w:hAnsi="Arial" w:cs="Arial"/>
                <w:b/>
                <w:sz w:val="24"/>
                <w:szCs w:val="24"/>
              </w:rPr>
              <w:t>Performance Indicator</w:t>
            </w:r>
          </w:p>
        </w:tc>
        <w:tc>
          <w:tcPr>
            <w:tcW w:w="993" w:type="dxa"/>
            <w:shd w:val="clear" w:color="auto" w:fill="17365D" w:themeFill="text2" w:themeFillShade="BF"/>
          </w:tcPr>
          <w:p w14:paraId="1D7C2E0F" w14:textId="77777777" w:rsidR="00E4366B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  <w:p w14:paraId="3FFFBAD5" w14:textId="77777777" w:rsidR="00DA3B37" w:rsidRPr="007B0E1E" w:rsidRDefault="00DA3B37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Mid-Year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14:paraId="50AF5EDC" w14:textId="77777777" w:rsidR="00E4366B" w:rsidRPr="007B0E1E" w:rsidRDefault="00DA3B37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</w:t>
            </w:r>
            <w:r w:rsidR="00E4366B">
              <w:rPr>
                <w:rFonts w:ascii="Arial" w:hAnsi="Arial" w:cs="Arial"/>
                <w:b/>
                <w:sz w:val="24"/>
                <w:szCs w:val="24"/>
              </w:rPr>
              <w:t>Mid-Year</w:t>
            </w:r>
          </w:p>
        </w:tc>
        <w:tc>
          <w:tcPr>
            <w:tcW w:w="3344" w:type="dxa"/>
            <w:shd w:val="clear" w:color="auto" w:fill="17365D" w:themeFill="text2" w:themeFillShade="BF"/>
          </w:tcPr>
          <w:p w14:paraId="72D703D2" w14:textId="77777777" w:rsidR="00E4366B" w:rsidRPr="007B0E1E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4366B" w14:paraId="18E1BF5F" w14:textId="77777777" w:rsidTr="006D62BA">
        <w:tc>
          <w:tcPr>
            <w:tcW w:w="664" w:type="dxa"/>
          </w:tcPr>
          <w:p w14:paraId="394DA474" w14:textId="77777777"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3" w:type="dxa"/>
          </w:tcPr>
          <w:p w14:paraId="72AABAEC" w14:textId="77777777" w:rsidR="00E4366B" w:rsidRPr="00AF4487" w:rsidRDefault="00E4366B" w:rsidP="006D6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Recommendations agreed for implementation</w:t>
            </w:r>
          </w:p>
        </w:tc>
        <w:tc>
          <w:tcPr>
            <w:tcW w:w="993" w:type="dxa"/>
          </w:tcPr>
          <w:p w14:paraId="1AD1E633" w14:textId="77777777"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487">
              <w:rPr>
                <w:rFonts w:ascii="Arial" w:hAnsi="Arial" w:cs="Arial"/>
                <w:b/>
                <w:sz w:val="20"/>
                <w:szCs w:val="20"/>
              </w:rPr>
              <w:t>95%</w:t>
            </w:r>
          </w:p>
        </w:tc>
        <w:tc>
          <w:tcPr>
            <w:tcW w:w="1134" w:type="dxa"/>
          </w:tcPr>
          <w:p w14:paraId="0178ECC0" w14:textId="77777777" w:rsidR="00E4366B" w:rsidRPr="00593142" w:rsidRDefault="00603485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344" w:type="dxa"/>
          </w:tcPr>
          <w:p w14:paraId="171F3A66" w14:textId="77777777" w:rsidR="00E4366B" w:rsidRPr="00603485" w:rsidRDefault="00E4366B" w:rsidP="008F5D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485">
              <w:rPr>
                <w:rFonts w:ascii="Arial" w:hAnsi="Arial" w:cs="Arial"/>
                <w:b/>
                <w:sz w:val="20"/>
                <w:szCs w:val="20"/>
              </w:rPr>
              <w:t>Exceeded</w:t>
            </w:r>
          </w:p>
          <w:p w14:paraId="24101AD2" w14:textId="77777777" w:rsidR="00DC6470" w:rsidRPr="00E36743" w:rsidRDefault="00DC6470" w:rsidP="0060348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4366B" w14:paraId="53F4D9A0" w14:textId="77777777" w:rsidTr="00B955EC">
        <w:tc>
          <w:tcPr>
            <w:tcW w:w="664" w:type="dxa"/>
          </w:tcPr>
          <w:p w14:paraId="27776FE0" w14:textId="77777777"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3" w:type="dxa"/>
          </w:tcPr>
          <w:p w14:paraId="2C0BA3BA" w14:textId="77777777" w:rsidR="00E4366B" w:rsidRPr="00AF4487" w:rsidRDefault="00E4366B" w:rsidP="00593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 xml:space="preserve">Follow up </w:t>
            </w:r>
            <w:r w:rsidR="00593142">
              <w:rPr>
                <w:rFonts w:ascii="Arial" w:hAnsi="Arial" w:cs="Arial"/>
                <w:sz w:val="20"/>
                <w:szCs w:val="20"/>
              </w:rPr>
              <w:t>undertaken</w:t>
            </w:r>
            <w:r w:rsidR="00C37D0C">
              <w:rPr>
                <w:rFonts w:ascii="Arial" w:hAnsi="Arial" w:cs="Arial"/>
                <w:sz w:val="20"/>
                <w:szCs w:val="20"/>
              </w:rPr>
              <w:t xml:space="preserve"> – Red &amp; Red/Amber Assurance Reports</w:t>
            </w:r>
          </w:p>
        </w:tc>
        <w:tc>
          <w:tcPr>
            <w:tcW w:w="993" w:type="dxa"/>
          </w:tcPr>
          <w:p w14:paraId="5594F35E" w14:textId="77777777"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48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14:paraId="4E4948B5" w14:textId="77777777" w:rsidR="007E1F76" w:rsidRPr="00593142" w:rsidRDefault="00C37D0C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344" w:type="dxa"/>
          </w:tcPr>
          <w:p w14:paraId="6C772AF5" w14:textId="77777777" w:rsidR="000F4EA7" w:rsidRDefault="007E1F76" w:rsidP="007E1F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D0C">
              <w:rPr>
                <w:rFonts w:ascii="Arial" w:hAnsi="Arial" w:cs="Arial"/>
                <w:b/>
                <w:sz w:val="20"/>
                <w:szCs w:val="20"/>
              </w:rPr>
              <w:t>Met</w:t>
            </w:r>
          </w:p>
          <w:p w14:paraId="32B7E5BA" w14:textId="77777777" w:rsidR="00C37D0C" w:rsidRPr="00C37D0C" w:rsidRDefault="00C37D0C" w:rsidP="007E1F76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completed</w:t>
            </w:r>
          </w:p>
        </w:tc>
      </w:tr>
      <w:tr w:rsidR="00C37D0C" w14:paraId="74E7F79B" w14:textId="77777777" w:rsidTr="00C173FD">
        <w:tc>
          <w:tcPr>
            <w:tcW w:w="664" w:type="dxa"/>
          </w:tcPr>
          <w:p w14:paraId="734DACC8" w14:textId="77777777" w:rsidR="00C37D0C" w:rsidRPr="00AF4487" w:rsidRDefault="00C37D0C" w:rsidP="007B0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3" w:type="dxa"/>
          </w:tcPr>
          <w:p w14:paraId="05EA76D0" w14:textId="77777777" w:rsidR="00C37D0C" w:rsidRPr="00AF4487" w:rsidRDefault="00C37D0C" w:rsidP="00C173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undertaken – Amber Assurance Reports</w:t>
            </w:r>
          </w:p>
        </w:tc>
        <w:tc>
          <w:tcPr>
            <w:tcW w:w="993" w:type="dxa"/>
          </w:tcPr>
          <w:p w14:paraId="6D56AE2F" w14:textId="77777777" w:rsidR="00C37D0C" w:rsidRDefault="00C37D0C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35%</w:t>
            </w:r>
          </w:p>
          <w:p w14:paraId="0EDCAA4F" w14:textId="2C14A7B2" w:rsidR="00E44F8A" w:rsidRPr="00E44F8A" w:rsidRDefault="00E44F8A" w:rsidP="007B0E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F8A">
              <w:rPr>
                <w:rFonts w:ascii="Arial" w:hAnsi="Arial" w:cs="Arial"/>
                <w:bCs/>
                <w:sz w:val="20"/>
                <w:szCs w:val="20"/>
              </w:rPr>
              <w:t>(70% full year)</w:t>
            </w:r>
          </w:p>
        </w:tc>
        <w:tc>
          <w:tcPr>
            <w:tcW w:w="1134" w:type="dxa"/>
          </w:tcPr>
          <w:p w14:paraId="427E5AA3" w14:textId="13BFD27D" w:rsidR="00C37D0C" w:rsidRDefault="00C37D0C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D43A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344" w:type="dxa"/>
          </w:tcPr>
          <w:p w14:paraId="0467F310" w14:textId="77777777" w:rsidR="00C37D0C" w:rsidRDefault="00C37D0C" w:rsidP="001276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Exceeded</w:t>
            </w:r>
          </w:p>
          <w:p w14:paraId="22E46A1B" w14:textId="2CEF15BF" w:rsidR="00C37D0C" w:rsidRDefault="00C37D0C" w:rsidP="001276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out of 1</w:t>
            </w:r>
            <w:r w:rsidR="005D43A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follow ups completed at the end of Q2.</w:t>
            </w:r>
          </w:p>
          <w:p w14:paraId="2FC7579D" w14:textId="77777777" w:rsidR="00C37D0C" w:rsidRDefault="00C37D0C" w:rsidP="001276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78F8A8" w14:textId="71930018" w:rsidR="00C37D0C" w:rsidRPr="00C37D0C" w:rsidRDefault="00C37D0C" w:rsidP="001276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further 4 have been issued in Q3/Q4 and </w:t>
            </w:r>
            <w:r w:rsidR="005D43AB">
              <w:rPr>
                <w:rFonts w:ascii="Arial" w:hAnsi="Arial" w:cs="Arial"/>
                <w:bCs/>
                <w:sz w:val="20"/>
                <w:szCs w:val="20"/>
              </w:rPr>
              <w:t>the remaining 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are in progress however there have been some difficulties obtaining the information.</w:t>
            </w:r>
          </w:p>
        </w:tc>
      </w:tr>
      <w:tr w:rsidR="00E4366B" w14:paraId="1A3F26EE" w14:textId="77777777" w:rsidTr="00C173FD">
        <w:tc>
          <w:tcPr>
            <w:tcW w:w="664" w:type="dxa"/>
          </w:tcPr>
          <w:p w14:paraId="0212E674" w14:textId="77777777" w:rsidR="00E4366B" w:rsidRPr="00AF4487" w:rsidRDefault="00C37D0C" w:rsidP="007B0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3" w:type="dxa"/>
          </w:tcPr>
          <w:p w14:paraId="2A1FAE68" w14:textId="77777777" w:rsidR="00E4366B" w:rsidRPr="00AF4487" w:rsidRDefault="00E4366B" w:rsidP="00C173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Plan achieved for key control reviews</w:t>
            </w:r>
          </w:p>
        </w:tc>
        <w:tc>
          <w:tcPr>
            <w:tcW w:w="993" w:type="dxa"/>
          </w:tcPr>
          <w:p w14:paraId="1C72A374" w14:textId="77777777"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48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14:paraId="74F5512F" w14:textId="77777777" w:rsidR="00E4366B" w:rsidRPr="00593142" w:rsidRDefault="005C0FC9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344" w:type="dxa"/>
          </w:tcPr>
          <w:p w14:paraId="0238732F" w14:textId="77777777" w:rsidR="00E4366B" w:rsidRPr="001E1FF4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FF4">
              <w:rPr>
                <w:rFonts w:ascii="Arial" w:hAnsi="Arial" w:cs="Arial"/>
                <w:b/>
                <w:sz w:val="20"/>
                <w:szCs w:val="20"/>
              </w:rPr>
              <w:t>Met</w:t>
            </w:r>
          </w:p>
          <w:p w14:paraId="4AA79655" w14:textId="77777777" w:rsidR="00E4366B" w:rsidRPr="001E1FF4" w:rsidRDefault="001E1FF4" w:rsidP="00127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FF4">
              <w:rPr>
                <w:rFonts w:ascii="Arial" w:hAnsi="Arial" w:cs="Arial"/>
                <w:sz w:val="20"/>
                <w:szCs w:val="20"/>
              </w:rPr>
              <w:t>3</w:t>
            </w:r>
            <w:r w:rsidR="00E4366B" w:rsidRPr="001E1FF4">
              <w:rPr>
                <w:rFonts w:ascii="Arial" w:hAnsi="Arial" w:cs="Arial"/>
                <w:sz w:val="20"/>
                <w:szCs w:val="20"/>
              </w:rPr>
              <w:t xml:space="preserve"> full reviews and </w:t>
            </w:r>
            <w:r w:rsidRPr="001E1FF4">
              <w:rPr>
                <w:rFonts w:ascii="Arial" w:hAnsi="Arial" w:cs="Arial"/>
                <w:sz w:val="20"/>
                <w:szCs w:val="20"/>
              </w:rPr>
              <w:t>6</w:t>
            </w:r>
            <w:r w:rsidR="00E4366B" w:rsidRPr="001E1FF4">
              <w:rPr>
                <w:rFonts w:ascii="Arial" w:hAnsi="Arial" w:cs="Arial"/>
                <w:sz w:val="20"/>
                <w:szCs w:val="20"/>
              </w:rPr>
              <w:t xml:space="preserve"> evidence based self- assessments undertaken</w:t>
            </w:r>
          </w:p>
        </w:tc>
      </w:tr>
      <w:tr w:rsidR="00E4366B" w14:paraId="49276C47" w14:textId="77777777" w:rsidTr="00C173FD">
        <w:tc>
          <w:tcPr>
            <w:tcW w:w="664" w:type="dxa"/>
          </w:tcPr>
          <w:p w14:paraId="03C54019" w14:textId="77777777" w:rsidR="00E4366B" w:rsidRPr="00AF4487" w:rsidRDefault="00C37D0C" w:rsidP="007B0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3" w:type="dxa"/>
          </w:tcPr>
          <w:p w14:paraId="4138A512" w14:textId="77777777" w:rsidR="00E4366B" w:rsidRPr="00AF4487" w:rsidRDefault="00E4366B" w:rsidP="00C173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Plan achieved overall (key indicator)</w:t>
            </w:r>
          </w:p>
        </w:tc>
        <w:tc>
          <w:tcPr>
            <w:tcW w:w="993" w:type="dxa"/>
          </w:tcPr>
          <w:p w14:paraId="469DA4AE" w14:textId="77777777" w:rsidR="00E4366B" w:rsidRDefault="00DA3B37" w:rsidP="00DA3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E4366B" w:rsidRPr="00AF448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14:paraId="352180E7" w14:textId="6773E667" w:rsidR="00E44F8A" w:rsidRPr="00E44F8A" w:rsidRDefault="00E44F8A" w:rsidP="00DA3B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F8A">
              <w:rPr>
                <w:rFonts w:ascii="Arial" w:hAnsi="Arial" w:cs="Arial"/>
                <w:bCs/>
                <w:sz w:val="20"/>
                <w:szCs w:val="20"/>
              </w:rPr>
              <w:t>(90% f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E44F8A">
              <w:rPr>
                <w:rFonts w:ascii="Arial" w:hAnsi="Arial" w:cs="Arial"/>
                <w:bCs/>
                <w:sz w:val="20"/>
                <w:szCs w:val="20"/>
              </w:rPr>
              <w:t>ll year)</w:t>
            </w:r>
          </w:p>
        </w:tc>
        <w:tc>
          <w:tcPr>
            <w:tcW w:w="1134" w:type="dxa"/>
          </w:tcPr>
          <w:p w14:paraId="615ADDD5" w14:textId="77777777" w:rsidR="00E4366B" w:rsidRPr="00593142" w:rsidRDefault="001E1FF4" w:rsidP="00545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46%</w:t>
            </w:r>
          </w:p>
        </w:tc>
        <w:tc>
          <w:tcPr>
            <w:tcW w:w="3344" w:type="dxa"/>
          </w:tcPr>
          <w:p w14:paraId="75FD0BE4" w14:textId="77777777" w:rsidR="00E4366B" w:rsidRPr="001E1FF4" w:rsidRDefault="00C37D0C" w:rsidP="001276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Exceeded</w:t>
            </w:r>
          </w:p>
          <w:p w14:paraId="07BE3007" w14:textId="77777777" w:rsidR="00E4366B" w:rsidRPr="001E1FF4" w:rsidRDefault="005F5CAC" w:rsidP="00127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FF4">
              <w:rPr>
                <w:rFonts w:ascii="Arial" w:hAnsi="Arial" w:cs="Arial"/>
                <w:sz w:val="20"/>
                <w:szCs w:val="20"/>
              </w:rPr>
              <w:t>2</w:t>
            </w:r>
            <w:r w:rsidR="001E1FF4" w:rsidRPr="001E1FF4">
              <w:rPr>
                <w:rFonts w:ascii="Arial" w:hAnsi="Arial" w:cs="Arial"/>
                <w:sz w:val="20"/>
                <w:szCs w:val="20"/>
              </w:rPr>
              <w:t>1</w:t>
            </w:r>
            <w:r w:rsidR="00545298" w:rsidRPr="001E1FF4">
              <w:rPr>
                <w:rFonts w:ascii="Arial" w:hAnsi="Arial" w:cs="Arial"/>
                <w:sz w:val="20"/>
                <w:szCs w:val="20"/>
              </w:rPr>
              <w:t xml:space="preserve"> out of </w:t>
            </w:r>
            <w:r w:rsidR="001E1FF4" w:rsidRPr="001E1FF4">
              <w:rPr>
                <w:rFonts w:ascii="Arial" w:hAnsi="Arial" w:cs="Arial"/>
                <w:sz w:val="20"/>
                <w:szCs w:val="20"/>
              </w:rPr>
              <w:t>46</w:t>
            </w:r>
            <w:r w:rsidR="00DC6470" w:rsidRPr="001E1FF4">
              <w:rPr>
                <w:rFonts w:ascii="Arial" w:hAnsi="Arial" w:cs="Arial"/>
                <w:sz w:val="20"/>
                <w:szCs w:val="20"/>
              </w:rPr>
              <w:t xml:space="preserve"> projects </w:t>
            </w:r>
            <w:r w:rsidR="00545298" w:rsidRPr="001E1FF4">
              <w:rPr>
                <w:rFonts w:ascii="Arial" w:hAnsi="Arial" w:cs="Arial"/>
                <w:sz w:val="20"/>
                <w:szCs w:val="20"/>
              </w:rPr>
              <w:t>complete</w:t>
            </w:r>
            <w:r w:rsidRPr="001E1FF4">
              <w:rPr>
                <w:rFonts w:ascii="Arial" w:hAnsi="Arial" w:cs="Arial"/>
                <w:sz w:val="20"/>
                <w:szCs w:val="20"/>
              </w:rPr>
              <w:t xml:space="preserve"> to end of Q2</w:t>
            </w:r>
            <w:r w:rsidR="00E4366B" w:rsidRPr="001E1F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453C4F" w14:textId="77777777" w:rsidR="00E4366B" w:rsidRPr="001E1FF4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66B" w14:paraId="24DF3A32" w14:textId="77777777" w:rsidTr="00FB2832">
        <w:tc>
          <w:tcPr>
            <w:tcW w:w="664" w:type="dxa"/>
            <w:shd w:val="clear" w:color="auto" w:fill="17365D" w:themeFill="text2" w:themeFillShade="BF"/>
          </w:tcPr>
          <w:p w14:paraId="0871C7DF" w14:textId="77777777" w:rsidR="00E4366B" w:rsidRPr="007B0E1E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17365D" w:themeFill="text2" w:themeFillShade="BF"/>
            <w:vAlign w:val="bottom"/>
          </w:tcPr>
          <w:p w14:paraId="100D74F4" w14:textId="77777777" w:rsidR="00E4366B" w:rsidRDefault="00E4366B" w:rsidP="00CD5E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Corporate </w:t>
            </w:r>
          </w:p>
          <w:p w14:paraId="6F4C7E4B" w14:textId="77777777" w:rsidR="00E4366B" w:rsidRPr="00B955EC" w:rsidRDefault="00E4366B" w:rsidP="00CD5E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Indicator</w:t>
            </w:r>
          </w:p>
        </w:tc>
        <w:tc>
          <w:tcPr>
            <w:tcW w:w="993" w:type="dxa"/>
            <w:shd w:val="clear" w:color="auto" w:fill="17365D" w:themeFill="text2" w:themeFillShade="BF"/>
          </w:tcPr>
          <w:p w14:paraId="6495F24A" w14:textId="77777777" w:rsidR="00E4366B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17365D" w:themeFill="text2" w:themeFillShade="BF"/>
          </w:tcPr>
          <w:p w14:paraId="677CE236" w14:textId="77777777" w:rsidR="00E4366B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17365D" w:themeFill="text2" w:themeFillShade="BF"/>
          </w:tcPr>
          <w:p w14:paraId="3CFF2FF2" w14:textId="77777777" w:rsidR="00E4366B" w:rsidRPr="00E36743" w:rsidRDefault="00E4366B" w:rsidP="001276E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4366B" w14:paraId="021A78F5" w14:textId="77777777" w:rsidTr="00FB2832">
        <w:tc>
          <w:tcPr>
            <w:tcW w:w="664" w:type="dxa"/>
          </w:tcPr>
          <w:p w14:paraId="22C85D7E" w14:textId="77777777" w:rsidR="00E4366B" w:rsidRPr="00AF4487" w:rsidRDefault="00E4366B" w:rsidP="00E43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3" w:type="dxa"/>
          </w:tcPr>
          <w:p w14:paraId="7BB76FA1" w14:textId="77777777" w:rsidR="00E4366B" w:rsidRPr="00AF4487" w:rsidRDefault="00E4366B" w:rsidP="00FB28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Implementation of recommendations</w:t>
            </w:r>
          </w:p>
        </w:tc>
        <w:tc>
          <w:tcPr>
            <w:tcW w:w="993" w:type="dxa"/>
          </w:tcPr>
          <w:p w14:paraId="474270EB" w14:textId="77777777"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487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</w:tc>
        <w:tc>
          <w:tcPr>
            <w:tcW w:w="1134" w:type="dxa"/>
          </w:tcPr>
          <w:p w14:paraId="5AF2C3E8" w14:textId="77777777" w:rsidR="007226D6" w:rsidRPr="00593142" w:rsidRDefault="001E1FF4" w:rsidP="007226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79%</w:t>
            </w:r>
          </w:p>
        </w:tc>
        <w:tc>
          <w:tcPr>
            <w:tcW w:w="3344" w:type="dxa"/>
          </w:tcPr>
          <w:p w14:paraId="2E5281A2" w14:textId="77777777" w:rsidR="00E4366B" w:rsidRPr="00C85156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5156">
              <w:rPr>
                <w:rFonts w:ascii="Arial" w:hAnsi="Arial" w:cs="Arial"/>
                <w:b/>
                <w:sz w:val="20"/>
                <w:szCs w:val="20"/>
              </w:rPr>
              <w:t>Exceeded (in due course)</w:t>
            </w:r>
          </w:p>
          <w:p w14:paraId="2E440256" w14:textId="77777777" w:rsidR="00E4366B" w:rsidRPr="00E36743" w:rsidRDefault="00C85156" w:rsidP="00371F9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5156">
              <w:rPr>
                <w:rFonts w:ascii="Arial" w:hAnsi="Arial" w:cs="Arial"/>
                <w:sz w:val="20"/>
                <w:szCs w:val="20"/>
              </w:rPr>
              <w:t>79</w:t>
            </w:r>
            <w:r w:rsidR="00E4366B" w:rsidRPr="00C85156">
              <w:rPr>
                <w:rFonts w:ascii="Arial" w:hAnsi="Arial" w:cs="Arial"/>
                <w:sz w:val="20"/>
                <w:szCs w:val="20"/>
              </w:rPr>
              <w:t>% of recommendations were implement</w:t>
            </w:r>
            <w:r w:rsidR="00BD3A0A" w:rsidRPr="00C85156">
              <w:rPr>
                <w:rFonts w:ascii="Arial" w:hAnsi="Arial" w:cs="Arial"/>
                <w:sz w:val="20"/>
                <w:szCs w:val="20"/>
              </w:rPr>
              <w:t>ed/substantially impleme</w:t>
            </w:r>
            <w:r w:rsidR="00FD54FA" w:rsidRPr="00C85156">
              <w:rPr>
                <w:rFonts w:ascii="Arial" w:hAnsi="Arial" w:cs="Arial"/>
                <w:sz w:val="20"/>
                <w:szCs w:val="20"/>
              </w:rPr>
              <w:t xml:space="preserve">nted, </w:t>
            </w:r>
            <w:r w:rsidRPr="00C85156">
              <w:rPr>
                <w:rFonts w:ascii="Arial" w:hAnsi="Arial" w:cs="Arial"/>
                <w:sz w:val="20"/>
                <w:szCs w:val="20"/>
              </w:rPr>
              <w:t>15</w:t>
            </w:r>
            <w:r w:rsidR="00FD54FA" w:rsidRPr="00C85156">
              <w:rPr>
                <w:rFonts w:ascii="Arial" w:hAnsi="Arial" w:cs="Arial"/>
                <w:sz w:val="20"/>
                <w:szCs w:val="20"/>
              </w:rPr>
              <w:t xml:space="preserve">% were in progress and </w:t>
            </w:r>
            <w:r w:rsidRPr="00C85156">
              <w:rPr>
                <w:rFonts w:ascii="Arial" w:hAnsi="Arial" w:cs="Arial"/>
                <w:sz w:val="20"/>
                <w:szCs w:val="20"/>
              </w:rPr>
              <w:t>6</w:t>
            </w:r>
            <w:r w:rsidR="00E4366B" w:rsidRPr="00C85156">
              <w:rPr>
                <w:rFonts w:ascii="Arial" w:hAnsi="Arial" w:cs="Arial"/>
                <w:sz w:val="20"/>
                <w:szCs w:val="20"/>
              </w:rPr>
              <w:t>% were planned at time of follow-up thus it is expected that in d</w:t>
            </w:r>
            <w:r w:rsidR="00BD3A0A" w:rsidRPr="00C85156">
              <w:rPr>
                <w:rFonts w:ascii="Arial" w:hAnsi="Arial" w:cs="Arial"/>
                <w:sz w:val="20"/>
                <w:szCs w:val="20"/>
              </w:rPr>
              <w:t xml:space="preserve">ue course </w:t>
            </w:r>
            <w:r w:rsidR="00371F94" w:rsidRPr="00C85156">
              <w:rPr>
                <w:rFonts w:ascii="Arial" w:hAnsi="Arial" w:cs="Arial"/>
                <w:sz w:val="20"/>
                <w:szCs w:val="20"/>
              </w:rPr>
              <w:t>100</w:t>
            </w:r>
            <w:r w:rsidR="00E4366B" w:rsidRPr="00C85156">
              <w:rPr>
                <w:rFonts w:ascii="Arial" w:hAnsi="Arial" w:cs="Arial"/>
                <w:sz w:val="20"/>
                <w:szCs w:val="20"/>
              </w:rPr>
              <w:t>% will be implemented.</w:t>
            </w:r>
          </w:p>
        </w:tc>
      </w:tr>
    </w:tbl>
    <w:p w14:paraId="4C9F0F11" w14:textId="77777777" w:rsidR="00097937" w:rsidRDefault="00097937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11E4A2" w14:textId="77777777" w:rsidR="00E43A35" w:rsidRDefault="00E43A35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7CE316" w14:textId="77777777" w:rsidR="00E43A35" w:rsidRDefault="00097937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73FD">
        <w:rPr>
          <w:rFonts w:ascii="Arial" w:hAnsi="Arial" w:cs="Arial"/>
          <w:b/>
          <w:sz w:val="24"/>
          <w:szCs w:val="24"/>
        </w:rPr>
        <w:t>Summary</w:t>
      </w:r>
    </w:p>
    <w:p w14:paraId="0C207A5E" w14:textId="77777777" w:rsidR="00E43A35" w:rsidRDefault="00E43A35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03248B" w14:textId="3BC17320" w:rsidR="00BE2404" w:rsidRPr="005D43AB" w:rsidRDefault="00E43A35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D0C">
        <w:rPr>
          <w:rFonts w:ascii="Arial" w:hAnsi="Arial" w:cs="Arial"/>
          <w:sz w:val="24"/>
          <w:szCs w:val="24"/>
        </w:rPr>
        <w:t xml:space="preserve">Of the </w:t>
      </w:r>
      <w:r w:rsidR="00C37D0C" w:rsidRPr="00C37D0C">
        <w:rPr>
          <w:rFonts w:ascii="Arial" w:hAnsi="Arial" w:cs="Arial"/>
          <w:sz w:val="24"/>
          <w:szCs w:val="24"/>
        </w:rPr>
        <w:t>6</w:t>
      </w:r>
      <w:r w:rsidRPr="00C37D0C">
        <w:rPr>
          <w:rFonts w:ascii="Arial" w:hAnsi="Arial" w:cs="Arial"/>
          <w:sz w:val="24"/>
          <w:szCs w:val="24"/>
        </w:rPr>
        <w:t xml:space="preserve"> internal audit performance indicators </w:t>
      </w:r>
      <w:r w:rsidR="00C37D0C" w:rsidRPr="00C37D0C">
        <w:rPr>
          <w:rFonts w:ascii="Arial" w:hAnsi="Arial" w:cs="Arial"/>
          <w:sz w:val="24"/>
          <w:szCs w:val="24"/>
        </w:rPr>
        <w:t>4</w:t>
      </w:r>
      <w:r w:rsidRPr="00C37D0C">
        <w:rPr>
          <w:rFonts w:ascii="Arial" w:hAnsi="Arial" w:cs="Arial"/>
          <w:sz w:val="24"/>
          <w:szCs w:val="24"/>
        </w:rPr>
        <w:t xml:space="preserve"> w</w:t>
      </w:r>
      <w:r w:rsidR="00C37D0C" w:rsidRPr="00C37D0C">
        <w:rPr>
          <w:rFonts w:ascii="Arial" w:hAnsi="Arial" w:cs="Arial"/>
          <w:sz w:val="24"/>
          <w:szCs w:val="24"/>
        </w:rPr>
        <w:t>ere</w:t>
      </w:r>
      <w:r w:rsidRPr="00C37D0C">
        <w:rPr>
          <w:rFonts w:ascii="Arial" w:hAnsi="Arial" w:cs="Arial"/>
          <w:sz w:val="24"/>
          <w:szCs w:val="24"/>
        </w:rPr>
        <w:t xml:space="preserve"> exceeded</w:t>
      </w:r>
      <w:r w:rsidR="00C37D0C" w:rsidRPr="00C37D0C">
        <w:rPr>
          <w:rFonts w:ascii="Arial" w:hAnsi="Arial" w:cs="Arial"/>
          <w:sz w:val="24"/>
          <w:szCs w:val="24"/>
        </w:rPr>
        <w:t xml:space="preserve"> and </w:t>
      </w:r>
      <w:r w:rsidRPr="00C37D0C">
        <w:rPr>
          <w:rFonts w:ascii="Arial" w:hAnsi="Arial" w:cs="Arial"/>
          <w:sz w:val="24"/>
          <w:szCs w:val="24"/>
        </w:rPr>
        <w:t>2 were met</w:t>
      </w:r>
      <w:r w:rsidR="00A0041E">
        <w:rPr>
          <w:rFonts w:ascii="Arial" w:hAnsi="Arial" w:cs="Arial"/>
          <w:sz w:val="24"/>
          <w:szCs w:val="24"/>
        </w:rPr>
        <w:t>.</w:t>
      </w:r>
    </w:p>
    <w:p w14:paraId="749DC266" w14:textId="77777777"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6337B2C5" w14:textId="77777777"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6AD2292C" w14:textId="77777777"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1B82759F" w14:textId="77777777"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76E71951" w14:textId="77777777"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1AC34059" w14:textId="77777777"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4F885CFD" w14:textId="77777777"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3D643AC4" w14:textId="77777777"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492F3769" w14:textId="77777777" w:rsidR="007226D6" w:rsidRDefault="007226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6D988D" w14:textId="77777777" w:rsidR="007226D6" w:rsidRPr="001276EA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E823829" w14:textId="77777777" w:rsidR="00BE2404" w:rsidRPr="00BE2404" w:rsidRDefault="00BE2404" w:rsidP="00BE240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B135B1" w14:textId="77777777" w:rsidR="0014488C" w:rsidRDefault="0014488C" w:rsidP="008F417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157">
        <w:rPr>
          <w:rFonts w:ascii="Arial" w:hAnsi="Arial" w:cs="Arial"/>
          <w:sz w:val="40"/>
          <w:szCs w:val="40"/>
          <w:shd w:val="clear" w:color="auto" w:fill="17365D" w:themeFill="text2" w:themeFillShade="BF"/>
        </w:rPr>
        <w:t>Audit Report Assurance Levels</w:t>
      </w:r>
      <w:r w:rsidRPr="008F417D">
        <w:rPr>
          <w:rFonts w:ascii="Arial" w:hAnsi="Arial" w:cs="Arial"/>
          <w:b/>
          <w:sz w:val="40"/>
          <w:szCs w:val="40"/>
          <w:shd w:val="clear" w:color="auto" w:fill="17365D" w:themeFill="text2" w:themeFillShade="BF"/>
        </w:rPr>
        <w:t xml:space="preserve">                            </w:t>
      </w:r>
      <w:r w:rsidR="00A04B79">
        <w:rPr>
          <w:rFonts w:ascii="Arial" w:hAnsi="Arial" w:cs="Arial"/>
          <w:b/>
          <w:sz w:val="40"/>
          <w:szCs w:val="40"/>
          <w:shd w:val="clear" w:color="auto" w:fill="17365D" w:themeFill="text2" w:themeFillShade="BF"/>
        </w:rPr>
        <w:t xml:space="preserve">    </w:t>
      </w:r>
      <w:r w:rsidRPr="008F417D">
        <w:rPr>
          <w:rFonts w:ascii="Arial" w:hAnsi="Arial" w:cs="Arial"/>
          <w:b/>
          <w:sz w:val="24"/>
          <w:szCs w:val="24"/>
          <w:shd w:val="clear" w:color="auto" w:fill="17365D" w:themeFill="text2" w:themeFillShade="BF"/>
        </w:rPr>
        <w:t>Appendix</w:t>
      </w:r>
      <w:r w:rsidR="00A04B79">
        <w:rPr>
          <w:rFonts w:ascii="Arial" w:hAnsi="Arial" w:cs="Arial"/>
          <w:b/>
          <w:sz w:val="24"/>
          <w:szCs w:val="24"/>
          <w:shd w:val="clear" w:color="auto" w:fill="17365D" w:themeFill="text2" w:themeFillShade="BF"/>
        </w:rPr>
        <w:t xml:space="preserve"> </w:t>
      </w:r>
      <w:r w:rsidR="007226D6">
        <w:rPr>
          <w:rFonts w:ascii="Arial" w:hAnsi="Arial" w:cs="Arial"/>
          <w:b/>
          <w:sz w:val="24"/>
          <w:szCs w:val="24"/>
          <w:shd w:val="clear" w:color="auto" w:fill="17365D" w:themeFill="text2" w:themeFillShade="BF"/>
        </w:rPr>
        <w:t>1</w:t>
      </w:r>
      <w:r w:rsidR="00A04B79">
        <w:rPr>
          <w:rFonts w:ascii="Arial" w:hAnsi="Arial" w:cs="Arial"/>
          <w:b/>
          <w:sz w:val="24"/>
          <w:szCs w:val="24"/>
          <w:shd w:val="clear" w:color="auto" w:fill="17365D" w:themeFill="text2" w:themeFillShade="BF"/>
        </w:rPr>
        <w:t xml:space="preserve"> </w:t>
      </w:r>
      <w:r w:rsidRPr="008F417D">
        <w:rPr>
          <w:rFonts w:ascii="Arial" w:hAnsi="Arial" w:cs="Arial"/>
          <w:b/>
          <w:sz w:val="24"/>
          <w:szCs w:val="24"/>
          <w:shd w:val="clear" w:color="auto" w:fill="17365D" w:themeFill="text2" w:themeFillShade="BF"/>
        </w:rPr>
        <w:t xml:space="preserve"> </w:t>
      </w:r>
    </w:p>
    <w:p w14:paraId="0D659501" w14:textId="77777777" w:rsidR="0014488C" w:rsidRDefault="0014488C" w:rsidP="0014488C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1208B4" w14:textId="77777777" w:rsidR="0014488C" w:rsidRDefault="0014488C" w:rsidP="0014488C">
      <w:pPr>
        <w:pStyle w:val="BodyText"/>
        <w:ind w:left="240"/>
        <w:jc w:val="both"/>
        <w:rPr>
          <w:b w:val="0"/>
          <w:bCs/>
        </w:rPr>
      </w:pPr>
      <w:r>
        <w:rPr>
          <w:b w:val="0"/>
          <w:bCs/>
        </w:rPr>
        <w:t xml:space="preserve">Internal audit reports are given a </w:t>
      </w:r>
      <w:r>
        <w:rPr>
          <w:b w:val="0"/>
          <w:bCs/>
          <w:color w:val="FF0000"/>
        </w:rPr>
        <w:t>red</w:t>
      </w:r>
      <w:r>
        <w:rPr>
          <w:b w:val="0"/>
          <w:bCs/>
        </w:rPr>
        <w:t xml:space="preserve">, </w:t>
      </w:r>
      <w:r>
        <w:rPr>
          <w:b w:val="0"/>
          <w:bCs/>
          <w:color w:val="FF0000"/>
        </w:rPr>
        <w:t>red/</w:t>
      </w:r>
      <w:r>
        <w:rPr>
          <w:b w:val="0"/>
          <w:bCs/>
          <w:color w:val="FF6600"/>
        </w:rPr>
        <w:t>amber, amber, amber/</w:t>
      </w:r>
      <w:r>
        <w:rPr>
          <w:b w:val="0"/>
          <w:bCs/>
          <w:color w:val="008000"/>
        </w:rPr>
        <w:t>green</w:t>
      </w:r>
      <w:r>
        <w:rPr>
          <w:b w:val="0"/>
          <w:bCs/>
        </w:rPr>
        <w:t xml:space="preserve"> or </w:t>
      </w:r>
      <w:r>
        <w:rPr>
          <w:b w:val="0"/>
          <w:bCs/>
          <w:color w:val="008000"/>
        </w:rPr>
        <w:t>green</w:t>
      </w:r>
      <w:r>
        <w:rPr>
          <w:b w:val="0"/>
          <w:bCs/>
        </w:rPr>
        <w:t xml:space="preserve"> assurance rating. </w:t>
      </w:r>
    </w:p>
    <w:p w14:paraId="07E4A3DB" w14:textId="77777777" w:rsidR="0014488C" w:rsidRDefault="0014488C" w:rsidP="0014488C">
      <w:pPr>
        <w:pStyle w:val="BodyText"/>
        <w:ind w:left="600"/>
        <w:jc w:val="both"/>
        <w:rPr>
          <w:b w:val="0"/>
          <w:bCs/>
        </w:rPr>
      </w:pPr>
    </w:p>
    <w:p w14:paraId="696EC074" w14:textId="77777777" w:rsidR="0014488C" w:rsidRPr="003554E5" w:rsidRDefault="0014488C" w:rsidP="0014488C">
      <w:pPr>
        <w:pStyle w:val="BodyText"/>
        <w:ind w:left="1260"/>
        <w:jc w:val="both"/>
        <w:rPr>
          <w:b w:val="0"/>
          <w:bCs/>
        </w:rPr>
      </w:pPr>
      <w:r>
        <w:rPr>
          <w:b w:val="0"/>
          <w:bCs/>
          <w:color w:val="FF0000"/>
        </w:rPr>
        <w:t xml:space="preserve">Red </w:t>
      </w:r>
      <w:r w:rsidRPr="003554E5">
        <w:rPr>
          <w:b w:val="0"/>
          <w:color w:val="000000"/>
        </w:rPr>
        <w:t>reports will indicate systems/functions/establishments with a low overall percentage of controls in place that represent a high risk to the authority needing immediate attention to improve the control environment;</w:t>
      </w:r>
    </w:p>
    <w:p w14:paraId="58DA0F4F" w14:textId="77777777" w:rsidR="0014488C" w:rsidRPr="003922F8" w:rsidRDefault="0014488C" w:rsidP="0014488C">
      <w:pPr>
        <w:pStyle w:val="BodyText"/>
        <w:jc w:val="both"/>
        <w:rPr>
          <w:b w:val="0"/>
          <w:bCs/>
        </w:rPr>
      </w:pPr>
    </w:p>
    <w:p w14:paraId="408A3C7D" w14:textId="77777777" w:rsidR="0014488C" w:rsidRPr="003554E5" w:rsidRDefault="0014488C" w:rsidP="0014488C">
      <w:pPr>
        <w:pStyle w:val="BodyText"/>
        <w:ind w:left="1260"/>
        <w:jc w:val="both"/>
        <w:rPr>
          <w:b w:val="0"/>
          <w:bCs/>
        </w:rPr>
      </w:pPr>
      <w:r>
        <w:rPr>
          <w:b w:val="0"/>
          <w:bCs/>
          <w:color w:val="FF0000"/>
        </w:rPr>
        <w:t>Red/</w:t>
      </w:r>
      <w:r>
        <w:rPr>
          <w:b w:val="0"/>
          <w:bCs/>
          <w:color w:val="FF6600"/>
        </w:rPr>
        <w:t xml:space="preserve">amber </w:t>
      </w:r>
      <w:r w:rsidRPr="003554E5">
        <w:rPr>
          <w:b w:val="0"/>
        </w:rPr>
        <w:t>reports will indicate systems/functions/establishments that represent a high to medium risk to the authority needing immediate attention to improve the control environment;</w:t>
      </w:r>
    </w:p>
    <w:p w14:paraId="123F6BBE" w14:textId="77777777" w:rsidR="0014488C" w:rsidRPr="003922F8" w:rsidRDefault="0014488C" w:rsidP="0014488C">
      <w:pPr>
        <w:pStyle w:val="BodyText"/>
        <w:jc w:val="both"/>
        <w:rPr>
          <w:b w:val="0"/>
          <w:bCs/>
        </w:rPr>
      </w:pPr>
    </w:p>
    <w:p w14:paraId="261513D1" w14:textId="77777777" w:rsidR="0014488C" w:rsidRDefault="0014488C" w:rsidP="0014488C">
      <w:pPr>
        <w:pStyle w:val="BodyText"/>
        <w:ind w:left="1260"/>
        <w:jc w:val="both"/>
        <w:rPr>
          <w:b w:val="0"/>
          <w:color w:val="000000"/>
        </w:rPr>
      </w:pPr>
      <w:r>
        <w:rPr>
          <w:b w:val="0"/>
          <w:bCs/>
          <w:color w:val="FF6600"/>
        </w:rPr>
        <w:t xml:space="preserve">Amber </w:t>
      </w:r>
      <w:r w:rsidRPr="00AD5C2F">
        <w:rPr>
          <w:b w:val="0"/>
          <w:bCs/>
        </w:rPr>
        <w:t>reports</w:t>
      </w:r>
      <w:r w:rsidRPr="003554E5">
        <w:rPr>
          <w:b w:val="0"/>
          <w:color w:val="000000"/>
        </w:rPr>
        <w:t xml:space="preserve"> will indicate a fair level of controls operating that represent a medium risk in need of attention to prevent them becoming high risk</w:t>
      </w:r>
      <w:r>
        <w:rPr>
          <w:b w:val="0"/>
          <w:color w:val="000000"/>
        </w:rPr>
        <w:t>;</w:t>
      </w:r>
    </w:p>
    <w:p w14:paraId="11A610D2" w14:textId="77777777" w:rsidR="0014488C" w:rsidRDefault="0014488C" w:rsidP="0014488C">
      <w:pPr>
        <w:pStyle w:val="BodyText"/>
        <w:jc w:val="both"/>
        <w:rPr>
          <w:b w:val="0"/>
          <w:bCs/>
          <w:color w:val="FF6600"/>
        </w:rPr>
      </w:pPr>
      <w:r>
        <w:rPr>
          <w:b w:val="0"/>
          <w:bCs/>
          <w:color w:val="FF6600"/>
        </w:rPr>
        <w:t xml:space="preserve"> </w:t>
      </w:r>
    </w:p>
    <w:p w14:paraId="2ADFFE3D" w14:textId="77777777" w:rsidR="0014488C" w:rsidRDefault="0014488C" w:rsidP="0014488C">
      <w:pPr>
        <w:pStyle w:val="BodyText"/>
        <w:ind w:left="1260"/>
        <w:jc w:val="both"/>
        <w:rPr>
          <w:b w:val="0"/>
          <w:bCs/>
        </w:rPr>
      </w:pPr>
      <w:r>
        <w:rPr>
          <w:b w:val="0"/>
          <w:bCs/>
          <w:color w:val="FF6600"/>
        </w:rPr>
        <w:t>Amber/</w:t>
      </w:r>
      <w:r>
        <w:rPr>
          <w:b w:val="0"/>
          <w:bCs/>
          <w:color w:val="008000"/>
        </w:rPr>
        <w:t xml:space="preserve">green </w:t>
      </w:r>
      <w:r w:rsidRPr="003554E5">
        <w:rPr>
          <w:b w:val="0"/>
        </w:rPr>
        <w:t>reports will indicate medium to low risk in need of attention to prevent them becoming high risk and</w:t>
      </w:r>
    </w:p>
    <w:p w14:paraId="6E293B9B" w14:textId="77777777" w:rsidR="0014488C" w:rsidRDefault="0014488C" w:rsidP="0014488C">
      <w:pPr>
        <w:pStyle w:val="BodyText"/>
        <w:jc w:val="both"/>
        <w:rPr>
          <w:b w:val="0"/>
          <w:bCs/>
          <w:color w:val="008000"/>
        </w:rPr>
      </w:pPr>
    </w:p>
    <w:p w14:paraId="3EE09428" w14:textId="77777777" w:rsidR="0014488C" w:rsidRDefault="0014488C" w:rsidP="0014488C">
      <w:pPr>
        <w:pStyle w:val="BodyText"/>
        <w:ind w:left="1260"/>
        <w:jc w:val="both"/>
        <w:rPr>
          <w:b w:val="0"/>
          <w:bCs/>
        </w:rPr>
      </w:pPr>
      <w:r>
        <w:rPr>
          <w:b w:val="0"/>
          <w:bCs/>
          <w:color w:val="008000"/>
        </w:rPr>
        <w:t xml:space="preserve">Green </w:t>
      </w:r>
      <w:r w:rsidRPr="003554E5">
        <w:rPr>
          <w:b w:val="0"/>
          <w:color w:val="000000"/>
        </w:rPr>
        <w:t>reports will indicate a high level of controls operating, including all critical controls, that represent low risk areas</w:t>
      </w:r>
    </w:p>
    <w:p w14:paraId="48A09D45" w14:textId="77777777" w:rsidR="0014488C" w:rsidRDefault="0014488C" w:rsidP="0014488C">
      <w:pPr>
        <w:pStyle w:val="BodyText"/>
        <w:jc w:val="both"/>
        <w:rPr>
          <w:b w:val="0"/>
          <w:bCs/>
        </w:rPr>
      </w:pPr>
    </w:p>
    <w:p w14:paraId="54BE38A1" w14:textId="77777777" w:rsidR="0014488C" w:rsidRDefault="0014488C" w:rsidP="0014488C">
      <w:pPr>
        <w:pStyle w:val="BodyText"/>
        <w:ind w:left="240"/>
        <w:jc w:val="both"/>
        <w:rPr>
          <w:b w:val="0"/>
          <w:bCs/>
        </w:rPr>
      </w:pPr>
      <w:r>
        <w:rPr>
          <w:b w:val="0"/>
          <w:bCs/>
        </w:rPr>
        <w:t xml:space="preserve">A formula for converting audit findings into a </w:t>
      </w:r>
      <w:r>
        <w:rPr>
          <w:b w:val="0"/>
          <w:bCs/>
          <w:color w:val="FF0000"/>
        </w:rPr>
        <w:t>red</w:t>
      </w:r>
      <w:r>
        <w:rPr>
          <w:b w:val="0"/>
          <w:bCs/>
        </w:rPr>
        <w:t xml:space="preserve">, </w:t>
      </w:r>
      <w:r>
        <w:rPr>
          <w:b w:val="0"/>
          <w:bCs/>
          <w:color w:val="FF0000"/>
        </w:rPr>
        <w:t>red/</w:t>
      </w:r>
      <w:r>
        <w:rPr>
          <w:b w:val="0"/>
          <w:bCs/>
          <w:color w:val="FF6600"/>
        </w:rPr>
        <w:t>amber, amber, amber/</w:t>
      </w:r>
      <w:r>
        <w:rPr>
          <w:b w:val="0"/>
          <w:bCs/>
          <w:color w:val="008000"/>
        </w:rPr>
        <w:t>green</w:t>
      </w:r>
      <w:r>
        <w:rPr>
          <w:b w:val="0"/>
          <w:bCs/>
        </w:rPr>
        <w:t xml:space="preserve"> or </w:t>
      </w:r>
      <w:r>
        <w:rPr>
          <w:b w:val="0"/>
          <w:bCs/>
          <w:color w:val="008000"/>
        </w:rPr>
        <w:t>green</w:t>
      </w:r>
      <w:r>
        <w:rPr>
          <w:b w:val="0"/>
          <w:bCs/>
        </w:rPr>
        <w:t xml:space="preserve"> rating has been developed as follows:</w:t>
      </w:r>
    </w:p>
    <w:p w14:paraId="208F6D27" w14:textId="77777777" w:rsidR="0014488C" w:rsidRDefault="0014488C" w:rsidP="0014488C">
      <w:pPr>
        <w:pStyle w:val="BodyText"/>
        <w:ind w:left="540"/>
        <w:jc w:val="both"/>
        <w:rPr>
          <w:b w:val="0"/>
          <w:bCs/>
        </w:rPr>
      </w:pPr>
    </w:p>
    <w:p w14:paraId="395B43E4" w14:textId="77777777" w:rsidR="0014488C" w:rsidRDefault="0014488C" w:rsidP="0014488C">
      <w:pPr>
        <w:pStyle w:val="BodyText"/>
        <w:ind w:left="960" w:firstLine="300"/>
        <w:jc w:val="both"/>
        <w:rPr>
          <w:b w:val="0"/>
          <w:bCs/>
        </w:rPr>
      </w:pPr>
      <w:r>
        <w:rPr>
          <w:b w:val="0"/>
          <w:bCs/>
          <w:color w:val="FF0000"/>
        </w:rPr>
        <w:t xml:space="preserve">Red </w:t>
      </w:r>
      <w:r>
        <w:rPr>
          <w:b w:val="0"/>
          <w:bCs/>
          <w:color w:val="000000"/>
        </w:rPr>
        <w:t>reports</w:t>
      </w:r>
      <w:r>
        <w:rPr>
          <w:b w:val="0"/>
          <w:bCs/>
        </w:rPr>
        <w:t xml:space="preserve"> will essentially be those where there is </w:t>
      </w:r>
      <w:r w:rsidRPr="0014488C">
        <w:rPr>
          <w:bCs/>
        </w:rPr>
        <w:t>one or more</w:t>
      </w:r>
      <w:r>
        <w:rPr>
          <w:b w:val="0"/>
          <w:bCs/>
        </w:rPr>
        <w:t xml:space="preserve"> of the following:</w:t>
      </w:r>
    </w:p>
    <w:p w14:paraId="7D4849AE" w14:textId="77777777" w:rsidR="0014488C" w:rsidRDefault="0014488C" w:rsidP="0014488C">
      <w:pPr>
        <w:pStyle w:val="BodyText"/>
        <w:ind w:left="540"/>
        <w:jc w:val="both"/>
        <w:rPr>
          <w:b w:val="0"/>
          <w:bCs/>
        </w:rPr>
      </w:pPr>
    </w:p>
    <w:p w14:paraId="593F9FD4" w14:textId="77777777" w:rsidR="0014488C" w:rsidRDefault="0014488C" w:rsidP="0014488C">
      <w:pPr>
        <w:pStyle w:val="BodyText"/>
        <w:numPr>
          <w:ilvl w:val="0"/>
          <w:numId w:val="11"/>
        </w:numPr>
        <w:tabs>
          <w:tab w:val="clear" w:pos="1620"/>
          <w:tab w:val="num" w:pos="1800"/>
        </w:tabs>
        <w:ind w:left="1200" w:firstLine="120"/>
        <w:jc w:val="both"/>
        <w:rPr>
          <w:b w:val="0"/>
          <w:bCs/>
        </w:rPr>
      </w:pPr>
      <w:r>
        <w:rPr>
          <w:b w:val="0"/>
          <w:bCs/>
        </w:rPr>
        <w:t>A low overall percentage of controls in place (0-50%)</w:t>
      </w:r>
    </w:p>
    <w:p w14:paraId="78E37F86" w14:textId="77777777" w:rsidR="0014488C" w:rsidRDefault="0014488C" w:rsidP="0014488C">
      <w:pPr>
        <w:pStyle w:val="BodyText"/>
        <w:numPr>
          <w:ilvl w:val="0"/>
          <w:numId w:val="11"/>
        </w:numPr>
        <w:tabs>
          <w:tab w:val="clear" w:pos="1620"/>
          <w:tab w:val="num" w:pos="1800"/>
        </w:tabs>
        <w:ind w:left="1200" w:firstLine="120"/>
        <w:jc w:val="both"/>
        <w:rPr>
          <w:b w:val="0"/>
          <w:bCs/>
        </w:rPr>
      </w:pPr>
      <w:r>
        <w:rPr>
          <w:b w:val="0"/>
          <w:bCs/>
        </w:rPr>
        <w:t>An absence of critical controls (reflected as high risk recommendations)</w:t>
      </w:r>
    </w:p>
    <w:p w14:paraId="4AA02D04" w14:textId="77777777" w:rsidR="0014488C" w:rsidRDefault="0014488C" w:rsidP="0014488C">
      <w:pPr>
        <w:pStyle w:val="BodyText"/>
        <w:numPr>
          <w:ilvl w:val="0"/>
          <w:numId w:val="11"/>
        </w:numPr>
        <w:tabs>
          <w:tab w:val="clear" w:pos="1620"/>
          <w:tab w:val="num" w:pos="1800"/>
        </w:tabs>
        <w:ind w:left="1200" w:firstLine="120"/>
        <w:jc w:val="both"/>
        <w:rPr>
          <w:b w:val="0"/>
          <w:bCs/>
        </w:rPr>
      </w:pPr>
      <w:r>
        <w:rPr>
          <w:b w:val="0"/>
          <w:bCs/>
        </w:rPr>
        <w:t>A significant deterioration in control systems</w:t>
      </w:r>
    </w:p>
    <w:p w14:paraId="7DEBDDAC" w14:textId="77777777" w:rsidR="0014488C" w:rsidRDefault="0014488C" w:rsidP="0014488C">
      <w:pPr>
        <w:pStyle w:val="BodyText"/>
        <w:numPr>
          <w:ilvl w:val="0"/>
          <w:numId w:val="11"/>
        </w:numPr>
        <w:tabs>
          <w:tab w:val="clear" w:pos="1620"/>
          <w:tab w:val="num" w:pos="1800"/>
        </w:tabs>
        <w:ind w:left="1200" w:firstLine="120"/>
        <w:jc w:val="both"/>
        <w:rPr>
          <w:b w:val="0"/>
          <w:bCs/>
        </w:rPr>
      </w:pPr>
      <w:r>
        <w:rPr>
          <w:b w:val="0"/>
          <w:bCs/>
        </w:rPr>
        <w:t>Poor progress with implementation of previous recommendations</w:t>
      </w:r>
    </w:p>
    <w:p w14:paraId="5CA40CEA" w14:textId="77777777" w:rsidR="0014488C" w:rsidRDefault="0014488C" w:rsidP="0014488C">
      <w:pPr>
        <w:pStyle w:val="BodyText"/>
        <w:ind w:left="540"/>
        <w:jc w:val="both"/>
        <w:rPr>
          <w:b w:val="0"/>
          <w:bCs/>
          <w:color w:val="FF0000"/>
        </w:rPr>
      </w:pPr>
    </w:p>
    <w:p w14:paraId="1C90498C" w14:textId="77777777" w:rsidR="0014488C" w:rsidRDefault="0014488C" w:rsidP="0014488C">
      <w:pPr>
        <w:pStyle w:val="BodyText"/>
        <w:ind w:left="1200"/>
        <w:jc w:val="both"/>
        <w:rPr>
          <w:b w:val="0"/>
          <w:bCs/>
        </w:rPr>
      </w:pPr>
      <w:r>
        <w:rPr>
          <w:b w:val="0"/>
          <w:bCs/>
          <w:color w:val="FF0000"/>
        </w:rPr>
        <w:t>Red</w:t>
      </w:r>
      <w:r>
        <w:rPr>
          <w:b w:val="0"/>
          <w:bCs/>
          <w:color w:val="000000"/>
        </w:rPr>
        <w:t>/</w:t>
      </w:r>
      <w:r>
        <w:rPr>
          <w:b w:val="0"/>
          <w:bCs/>
          <w:color w:val="FF6600"/>
        </w:rPr>
        <w:t xml:space="preserve">Amber </w:t>
      </w:r>
      <w:r>
        <w:rPr>
          <w:b w:val="0"/>
          <w:bCs/>
        </w:rPr>
        <w:t>reports will be those that have 51-60% of controls operating and no more than 40% of controls absent are critical (40% of recommendations made).</w:t>
      </w:r>
    </w:p>
    <w:p w14:paraId="66623FD9" w14:textId="77777777" w:rsidR="0014488C" w:rsidRDefault="0014488C" w:rsidP="0014488C">
      <w:pPr>
        <w:pStyle w:val="BodyText"/>
        <w:ind w:left="840"/>
        <w:jc w:val="both"/>
        <w:rPr>
          <w:b w:val="0"/>
          <w:bCs/>
          <w:color w:val="FF6600"/>
        </w:rPr>
      </w:pPr>
    </w:p>
    <w:p w14:paraId="62384651" w14:textId="77777777" w:rsidR="0014488C" w:rsidRDefault="0014488C" w:rsidP="0014488C">
      <w:pPr>
        <w:pStyle w:val="BodyText"/>
        <w:ind w:left="1200"/>
        <w:jc w:val="both"/>
        <w:rPr>
          <w:b w:val="0"/>
          <w:bCs/>
        </w:rPr>
      </w:pPr>
      <w:r>
        <w:rPr>
          <w:b w:val="0"/>
          <w:bCs/>
          <w:color w:val="FF6600"/>
        </w:rPr>
        <w:t xml:space="preserve">Amber </w:t>
      </w:r>
      <w:r>
        <w:rPr>
          <w:b w:val="0"/>
          <w:bCs/>
        </w:rPr>
        <w:t>reports will be those that have 61-70% of controls operating and no more than 25% of controls absent are critical (25% of recommendations made).</w:t>
      </w:r>
    </w:p>
    <w:p w14:paraId="23EE6D24" w14:textId="77777777" w:rsidR="0014488C" w:rsidRDefault="0014488C" w:rsidP="0014488C">
      <w:pPr>
        <w:pStyle w:val="BodyText"/>
        <w:ind w:left="840"/>
        <w:jc w:val="both"/>
        <w:rPr>
          <w:b w:val="0"/>
          <w:bCs/>
        </w:rPr>
      </w:pPr>
    </w:p>
    <w:p w14:paraId="0CDDBE25" w14:textId="77777777" w:rsidR="0014488C" w:rsidRDefault="0014488C" w:rsidP="0014488C">
      <w:pPr>
        <w:pStyle w:val="BodyText"/>
        <w:ind w:left="1200"/>
        <w:jc w:val="both"/>
        <w:rPr>
          <w:b w:val="0"/>
          <w:bCs/>
          <w:color w:val="008000"/>
        </w:rPr>
      </w:pPr>
      <w:r>
        <w:rPr>
          <w:b w:val="0"/>
          <w:bCs/>
          <w:color w:val="FF6600"/>
        </w:rPr>
        <w:t>Amber</w:t>
      </w:r>
      <w:r>
        <w:rPr>
          <w:b w:val="0"/>
          <w:bCs/>
        </w:rPr>
        <w:t>/</w:t>
      </w:r>
      <w:r>
        <w:rPr>
          <w:b w:val="0"/>
          <w:bCs/>
          <w:color w:val="008000"/>
        </w:rPr>
        <w:t xml:space="preserve">Green </w:t>
      </w:r>
      <w:r>
        <w:rPr>
          <w:b w:val="0"/>
          <w:bCs/>
        </w:rPr>
        <w:t>reports will be those that have 71-80% of controls operating and no more than 10% of controls absent are critical (10% of recommendations made).</w:t>
      </w:r>
    </w:p>
    <w:p w14:paraId="31D45088" w14:textId="77777777" w:rsidR="0014488C" w:rsidRDefault="0014488C" w:rsidP="0014488C">
      <w:pPr>
        <w:pStyle w:val="BodyText"/>
        <w:ind w:left="840"/>
        <w:jc w:val="both"/>
        <w:rPr>
          <w:b w:val="0"/>
          <w:bCs/>
          <w:color w:val="008000"/>
        </w:rPr>
      </w:pPr>
    </w:p>
    <w:p w14:paraId="39224900" w14:textId="77777777" w:rsidR="0014488C" w:rsidRDefault="0014488C" w:rsidP="0014488C">
      <w:pPr>
        <w:pStyle w:val="BodyText"/>
        <w:ind w:left="1200"/>
        <w:jc w:val="both"/>
        <w:rPr>
          <w:b w:val="0"/>
          <w:bCs/>
        </w:rPr>
      </w:pPr>
      <w:r>
        <w:rPr>
          <w:b w:val="0"/>
          <w:bCs/>
          <w:color w:val="008000"/>
        </w:rPr>
        <w:t xml:space="preserve">Green </w:t>
      </w:r>
      <w:r>
        <w:rPr>
          <w:b w:val="0"/>
          <w:bCs/>
        </w:rPr>
        <w:t>reports will be those having 81-100% of controls operating including all critical controls and no absence of critical controls (no high risk recommendations).</w:t>
      </w:r>
    </w:p>
    <w:p w14:paraId="7357456F" w14:textId="77777777" w:rsidR="0014488C" w:rsidRDefault="0014488C" w:rsidP="0014488C">
      <w:pPr>
        <w:pStyle w:val="BodyText"/>
        <w:ind w:left="1200"/>
        <w:jc w:val="both"/>
        <w:rPr>
          <w:b w:val="0"/>
          <w:bCs/>
        </w:rPr>
      </w:pPr>
    </w:p>
    <w:p w14:paraId="760FBB9E" w14:textId="77777777" w:rsidR="0014488C" w:rsidRDefault="0014488C" w:rsidP="0014488C">
      <w:pPr>
        <w:pStyle w:val="BodyText"/>
        <w:ind w:left="1200"/>
        <w:jc w:val="both"/>
        <w:rPr>
          <w:b w:val="0"/>
          <w:bCs/>
        </w:rPr>
      </w:pPr>
      <w:r>
        <w:rPr>
          <w:b w:val="0"/>
          <w:bCs/>
        </w:rPr>
        <w:t>Controls operating and substantially operating will be combined to give the overall assurance rating.</w:t>
      </w:r>
    </w:p>
    <w:p w14:paraId="549D85D2" w14:textId="77777777" w:rsidR="0014488C" w:rsidRDefault="0014488C" w:rsidP="0014488C">
      <w:pPr>
        <w:pStyle w:val="BodyText"/>
        <w:ind w:left="840"/>
        <w:jc w:val="both"/>
        <w:rPr>
          <w:b w:val="0"/>
          <w:bCs/>
        </w:rPr>
      </w:pPr>
    </w:p>
    <w:p w14:paraId="3A23B902" w14:textId="77777777" w:rsidR="00EC3DD5" w:rsidRDefault="00EC3DD5" w:rsidP="0014488C">
      <w:pPr>
        <w:pStyle w:val="BodyText"/>
        <w:ind w:left="840"/>
        <w:jc w:val="both"/>
        <w:rPr>
          <w:b w:val="0"/>
          <w:bCs/>
        </w:rPr>
      </w:pPr>
    </w:p>
    <w:sectPr w:rsidR="00EC3DD5" w:rsidSect="000F59D4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873D" w14:textId="77777777" w:rsidR="00593142" w:rsidRDefault="00593142" w:rsidP="000F59D4">
      <w:pPr>
        <w:spacing w:after="0" w:line="240" w:lineRule="auto"/>
      </w:pPr>
      <w:r>
        <w:separator/>
      </w:r>
    </w:p>
  </w:endnote>
  <w:endnote w:type="continuationSeparator" w:id="0">
    <w:p w14:paraId="1594FBA9" w14:textId="77777777" w:rsidR="00593142" w:rsidRDefault="00593142" w:rsidP="000F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54E7" w14:textId="77777777" w:rsidR="00593142" w:rsidRDefault="00593142" w:rsidP="000F59D4">
      <w:pPr>
        <w:spacing w:after="0" w:line="240" w:lineRule="auto"/>
      </w:pPr>
      <w:r>
        <w:separator/>
      </w:r>
    </w:p>
  </w:footnote>
  <w:footnote w:type="continuationSeparator" w:id="0">
    <w:p w14:paraId="138FAE75" w14:textId="77777777" w:rsidR="00593142" w:rsidRDefault="00593142" w:rsidP="000F59D4">
      <w:pPr>
        <w:spacing w:after="0" w:line="240" w:lineRule="auto"/>
      </w:pPr>
      <w:r>
        <w:continuationSeparator/>
      </w:r>
    </w:p>
  </w:footnote>
  <w:footnote w:id="1">
    <w:p w14:paraId="1FFD6D4C" w14:textId="3D2355D5" w:rsidR="009F3BF5" w:rsidRDefault="009F3BF5">
      <w:pPr>
        <w:pStyle w:val="FootnoteText"/>
      </w:pPr>
      <w:r>
        <w:rPr>
          <w:rStyle w:val="FootnoteReference"/>
        </w:rPr>
        <w:footnoteRef/>
      </w:r>
      <w:r>
        <w:t xml:space="preserve"> See confidential </w:t>
      </w:r>
      <w:r w:rsidR="00B57822">
        <w:t>A</w:t>
      </w:r>
      <w:r>
        <w:t>ppendix</w:t>
      </w:r>
      <w:r w:rsidR="00B57822">
        <w:t xml:space="preserve"> 2</w:t>
      </w:r>
    </w:p>
  </w:footnote>
  <w:footnote w:id="2">
    <w:p w14:paraId="32430C2B" w14:textId="77777777" w:rsidR="00593142" w:rsidRDefault="00593142">
      <w:pPr>
        <w:pStyle w:val="FootnoteText"/>
      </w:pPr>
      <w:r>
        <w:rPr>
          <w:rStyle w:val="FootnoteReference"/>
        </w:rPr>
        <w:footnoteRef/>
      </w:r>
      <w:r>
        <w:t xml:space="preserve"> The impact of recommendations implemented, substantially or partially implemented at follow-up on the expected controls are assessed to provide the re-assessed assurance rating and assumes that previous controls that were operating and still operating.  It should be noted the correlation between control weaknesses and recommendations is not 1:1 i.e. one weakness identified may result in a number of recommendations being made and alternatively a number of weaknesses identified may result in only one recommendation being made.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688"/>
    <w:multiLevelType w:val="hybridMultilevel"/>
    <w:tmpl w:val="093CA834"/>
    <w:lvl w:ilvl="0" w:tplc="6FF6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C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7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26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E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CD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A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22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6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E5A83"/>
    <w:multiLevelType w:val="hybridMultilevel"/>
    <w:tmpl w:val="4C9A1586"/>
    <w:lvl w:ilvl="0" w:tplc="18DC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E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E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2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0D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4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E1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440738"/>
    <w:multiLevelType w:val="hybridMultilevel"/>
    <w:tmpl w:val="29922C0E"/>
    <w:lvl w:ilvl="0" w:tplc="68E81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4B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C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8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7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E7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A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422BE"/>
    <w:multiLevelType w:val="hybridMultilevel"/>
    <w:tmpl w:val="0F6C22A8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" w15:restartNumberingAfterBreak="0">
    <w:nsid w:val="1BED082F"/>
    <w:multiLevelType w:val="hybridMultilevel"/>
    <w:tmpl w:val="2F7ABB58"/>
    <w:lvl w:ilvl="0" w:tplc="B498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8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4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4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9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0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CA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0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F46F6D"/>
    <w:multiLevelType w:val="hybridMultilevel"/>
    <w:tmpl w:val="00841D62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" w15:restartNumberingAfterBreak="0">
    <w:nsid w:val="28A86E7A"/>
    <w:multiLevelType w:val="hybridMultilevel"/>
    <w:tmpl w:val="BBE82D8C"/>
    <w:lvl w:ilvl="0" w:tplc="83109A6C">
      <w:start w:val="2"/>
      <w:numFmt w:val="bullet"/>
      <w:lvlText w:val="-"/>
      <w:lvlJc w:val="left"/>
      <w:pPr>
        <w:ind w:left="635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7" w15:restartNumberingAfterBreak="0">
    <w:nsid w:val="2E9C52E7"/>
    <w:multiLevelType w:val="hybridMultilevel"/>
    <w:tmpl w:val="559EF1D8"/>
    <w:lvl w:ilvl="0" w:tplc="A16AF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1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B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C6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E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A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E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91D5F"/>
    <w:multiLevelType w:val="hybridMultilevel"/>
    <w:tmpl w:val="1436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77CA5"/>
    <w:multiLevelType w:val="hybridMultilevel"/>
    <w:tmpl w:val="9C061832"/>
    <w:lvl w:ilvl="0" w:tplc="9BFEF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2FAE"/>
    <w:multiLevelType w:val="hybridMultilevel"/>
    <w:tmpl w:val="A96A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65BF5"/>
    <w:multiLevelType w:val="hybridMultilevel"/>
    <w:tmpl w:val="032E3C48"/>
    <w:lvl w:ilvl="0" w:tplc="F764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EA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2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4A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A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A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C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4E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7908EA"/>
    <w:multiLevelType w:val="hybridMultilevel"/>
    <w:tmpl w:val="B79A1ED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39C1E3D"/>
    <w:multiLevelType w:val="hybridMultilevel"/>
    <w:tmpl w:val="A498FA88"/>
    <w:lvl w:ilvl="0" w:tplc="CDDA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87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E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85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81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A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A6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A8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5C34B9"/>
    <w:multiLevelType w:val="hybridMultilevel"/>
    <w:tmpl w:val="9D3CA48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D552529"/>
    <w:multiLevelType w:val="hybridMultilevel"/>
    <w:tmpl w:val="93C205C8"/>
    <w:lvl w:ilvl="0" w:tplc="2BD015B2">
      <w:start w:val="2"/>
      <w:numFmt w:val="bullet"/>
      <w:lvlText w:val="-"/>
      <w:lvlJc w:val="left"/>
      <w:pPr>
        <w:ind w:left="275" w:hanging="360"/>
      </w:pPr>
      <w:rPr>
        <w:rFonts w:ascii="Arial" w:eastAsia="Calibr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16" w15:restartNumberingAfterBreak="0">
    <w:nsid w:val="6FA97435"/>
    <w:multiLevelType w:val="hybridMultilevel"/>
    <w:tmpl w:val="268E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52A37"/>
    <w:multiLevelType w:val="hybridMultilevel"/>
    <w:tmpl w:val="9B0A43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4729DBC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C23293B"/>
    <w:multiLevelType w:val="hybridMultilevel"/>
    <w:tmpl w:val="E1AAF786"/>
    <w:lvl w:ilvl="0" w:tplc="5340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E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0A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8F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C3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E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17"/>
  </w:num>
  <w:num w:numId="13">
    <w:abstractNumId w:val="8"/>
  </w:num>
  <w:num w:numId="14">
    <w:abstractNumId w:val="5"/>
  </w:num>
  <w:num w:numId="15">
    <w:abstractNumId w:val="3"/>
  </w:num>
  <w:num w:numId="16">
    <w:abstractNumId w:val="16"/>
  </w:num>
  <w:num w:numId="17">
    <w:abstractNumId w:val="16"/>
  </w:num>
  <w:num w:numId="18">
    <w:abstractNumId w:val="1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B6"/>
    <w:rsid w:val="000058F9"/>
    <w:rsid w:val="00035451"/>
    <w:rsid w:val="00065E7F"/>
    <w:rsid w:val="000750D6"/>
    <w:rsid w:val="000913A9"/>
    <w:rsid w:val="00097937"/>
    <w:rsid w:val="000A237E"/>
    <w:rsid w:val="000C1FFA"/>
    <w:rsid w:val="000C2355"/>
    <w:rsid w:val="000F4EA7"/>
    <w:rsid w:val="000F59D4"/>
    <w:rsid w:val="000F73B2"/>
    <w:rsid w:val="00106217"/>
    <w:rsid w:val="00116046"/>
    <w:rsid w:val="001276EA"/>
    <w:rsid w:val="0014228A"/>
    <w:rsid w:val="0014488C"/>
    <w:rsid w:val="0014756C"/>
    <w:rsid w:val="00147A08"/>
    <w:rsid w:val="0015435B"/>
    <w:rsid w:val="001600F4"/>
    <w:rsid w:val="00174F61"/>
    <w:rsid w:val="00176D8D"/>
    <w:rsid w:val="00181E1C"/>
    <w:rsid w:val="001C1FDD"/>
    <w:rsid w:val="001C66E5"/>
    <w:rsid w:val="001E1FF4"/>
    <w:rsid w:val="001E78EF"/>
    <w:rsid w:val="001F0A3C"/>
    <w:rsid w:val="001F4C5B"/>
    <w:rsid w:val="0020470E"/>
    <w:rsid w:val="002222E2"/>
    <w:rsid w:val="00231182"/>
    <w:rsid w:val="00233489"/>
    <w:rsid w:val="00261363"/>
    <w:rsid w:val="00266226"/>
    <w:rsid w:val="00283830"/>
    <w:rsid w:val="0028748D"/>
    <w:rsid w:val="00290004"/>
    <w:rsid w:val="00291D60"/>
    <w:rsid w:val="00293188"/>
    <w:rsid w:val="002A1E63"/>
    <w:rsid w:val="002A551A"/>
    <w:rsid w:val="002B36C4"/>
    <w:rsid w:val="002D2306"/>
    <w:rsid w:val="002D2D9C"/>
    <w:rsid w:val="002E78E6"/>
    <w:rsid w:val="00305AE9"/>
    <w:rsid w:val="003069CF"/>
    <w:rsid w:val="0034579C"/>
    <w:rsid w:val="00346A5E"/>
    <w:rsid w:val="00355612"/>
    <w:rsid w:val="003603FF"/>
    <w:rsid w:val="00371F94"/>
    <w:rsid w:val="003A2FB6"/>
    <w:rsid w:val="003A3DFF"/>
    <w:rsid w:val="003A3E9E"/>
    <w:rsid w:val="003B6AAA"/>
    <w:rsid w:val="003C0454"/>
    <w:rsid w:val="003C311C"/>
    <w:rsid w:val="003C7099"/>
    <w:rsid w:val="003F0175"/>
    <w:rsid w:val="00434776"/>
    <w:rsid w:val="00441376"/>
    <w:rsid w:val="004417E8"/>
    <w:rsid w:val="00471886"/>
    <w:rsid w:val="004831AC"/>
    <w:rsid w:val="004D32FB"/>
    <w:rsid w:val="004D6B0E"/>
    <w:rsid w:val="004E6157"/>
    <w:rsid w:val="004F7FDF"/>
    <w:rsid w:val="00527924"/>
    <w:rsid w:val="00545298"/>
    <w:rsid w:val="005519EF"/>
    <w:rsid w:val="005548A2"/>
    <w:rsid w:val="0055734F"/>
    <w:rsid w:val="00565F52"/>
    <w:rsid w:val="00570C8F"/>
    <w:rsid w:val="00581053"/>
    <w:rsid w:val="0058334A"/>
    <w:rsid w:val="0058545D"/>
    <w:rsid w:val="00587C91"/>
    <w:rsid w:val="00593142"/>
    <w:rsid w:val="00593955"/>
    <w:rsid w:val="00595812"/>
    <w:rsid w:val="0059750A"/>
    <w:rsid w:val="005A3570"/>
    <w:rsid w:val="005B2E17"/>
    <w:rsid w:val="005C0FC9"/>
    <w:rsid w:val="005C125A"/>
    <w:rsid w:val="005C3B93"/>
    <w:rsid w:val="005D43AB"/>
    <w:rsid w:val="005D4672"/>
    <w:rsid w:val="005D768A"/>
    <w:rsid w:val="005E54EB"/>
    <w:rsid w:val="005E5739"/>
    <w:rsid w:val="005F5CAC"/>
    <w:rsid w:val="00603485"/>
    <w:rsid w:val="00617135"/>
    <w:rsid w:val="00636D58"/>
    <w:rsid w:val="00637855"/>
    <w:rsid w:val="00657516"/>
    <w:rsid w:val="00663F06"/>
    <w:rsid w:val="0067101C"/>
    <w:rsid w:val="00671215"/>
    <w:rsid w:val="00686AAC"/>
    <w:rsid w:val="006C3876"/>
    <w:rsid w:val="006C6C30"/>
    <w:rsid w:val="006D62BA"/>
    <w:rsid w:val="006E14F9"/>
    <w:rsid w:val="006F0E77"/>
    <w:rsid w:val="00701DE9"/>
    <w:rsid w:val="007226D6"/>
    <w:rsid w:val="007244A4"/>
    <w:rsid w:val="00730037"/>
    <w:rsid w:val="0073322B"/>
    <w:rsid w:val="00740D3A"/>
    <w:rsid w:val="007474DA"/>
    <w:rsid w:val="007524CD"/>
    <w:rsid w:val="00753F90"/>
    <w:rsid w:val="00780E4F"/>
    <w:rsid w:val="007816FB"/>
    <w:rsid w:val="00781D72"/>
    <w:rsid w:val="00790346"/>
    <w:rsid w:val="00795C55"/>
    <w:rsid w:val="007B0E1E"/>
    <w:rsid w:val="007B243B"/>
    <w:rsid w:val="007B29AB"/>
    <w:rsid w:val="007B7BAC"/>
    <w:rsid w:val="007C3BFB"/>
    <w:rsid w:val="007C565B"/>
    <w:rsid w:val="007C67D4"/>
    <w:rsid w:val="007D5F62"/>
    <w:rsid w:val="007E1F76"/>
    <w:rsid w:val="007E78B0"/>
    <w:rsid w:val="00804C76"/>
    <w:rsid w:val="00807917"/>
    <w:rsid w:val="00844C5F"/>
    <w:rsid w:val="00844C96"/>
    <w:rsid w:val="00856079"/>
    <w:rsid w:val="008605BD"/>
    <w:rsid w:val="00862D1E"/>
    <w:rsid w:val="00873A43"/>
    <w:rsid w:val="00881A39"/>
    <w:rsid w:val="00883799"/>
    <w:rsid w:val="008865FB"/>
    <w:rsid w:val="008902AC"/>
    <w:rsid w:val="00896149"/>
    <w:rsid w:val="008C70BD"/>
    <w:rsid w:val="008D4A3F"/>
    <w:rsid w:val="008E68D0"/>
    <w:rsid w:val="008F417D"/>
    <w:rsid w:val="008F5CD6"/>
    <w:rsid w:val="008F5D23"/>
    <w:rsid w:val="00900406"/>
    <w:rsid w:val="0092154E"/>
    <w:rsid w:val="0094765E"/>
    <w:rsid w:val="009572F4"/>
    <w:rsid w:val="0096515E"/>
    <w:rsid w:val="00977790"/>
    <w:rsid w:val="00982CBB"/>
    <w:rsid w:val="00996341"/>
    <w:rsid w:val="009964CF"/>
    <w:rsid w:val="009C0F81"/>
    <w:rsid w:val="009C5D3D"/>
    <w:rsid w:val="009D0078"/>
    <w:rsid w:val="009F02F0"/>
    <w:rsid w:val="009F3BF5"/>
    <w:rsid w:val="009F3F83"/>
    <w:rsid w:val="00A0041E"/>
    <w:rsid w:val="00A04B79"/>
    <w:rsid w:val="00A10526"/>
    <w:rsid w:val="00A10B1A"/>
    <w:rsid w:val="00A23D26"/>
    <w:rsid w:val="00A616C9"/>
    <w:rsid w:val="00A75FA6"/>
    <w:rsid w:val="00AB3B97"/>
    <w:rsid w:val="00AD41F7"/>
    <w:rsid w:val="00AE1560"/>
    <w:rsid w:val="00AE1EE3"/>
    <w:rsid w:val="00AF3BA0"/>
    <w:rsid w:val="00AF40F1"/>
    <w:rsid w:val="00AF4487"/>
    <w:rsid w:val="00AF531C"/>
    <w:rsid w:val="00AF5C5D"/>
    <w:rsid w:val="00B10457"/>
    <w:rsid w:val="00B10EC4"/>
    <w:rsid w:val="00B31A03"/>
    <w:rsid w:val="00B33228"/>
    <w:rsid w:val="00B45E77"/>
    <w:rsid w:val="00B57822"/>
    <w:rsid w:val="00B8344F"/>
    <w:rsid w:val="00B90417"/>
    <w:rsid w:val="00B94B8B"/>
    <w:rsid w:val="00B955EC"/>
    <w:rsid w:val="00B95617"/>
    <w:rsid w:val="00BA2892"/>
    <w:rsid w:val="00BB2995"/>
    <w:rsid w:val="00BD20FF"/>
    <w:rsid w:val="00BD3A0A"/>
    <w:rsid w:val="00BE2404"/>
    <w:rsid w:val="00BE3227"/>
    <w:rsid w:val="00BE3A18"/>
    <w:rsid w:val="00BE72A1"/>
    <w:rsid w:val="00BE7A42"/>
    <w:rsid w:val="00BF7C61"/>
    <w:rsid w:val="00C1096B"/>
    <w:rsid w:val="00C173FD"/>
    <w:rsid w:val="00C2346B"/>
    <w:rsid w:val="00C24881"/>
    <w:rsid w:val="00C27C97"/>
    <w:rsid w:val="00C37D0C"/>
    <w:rsid w:val="00C41AE9"/>
    <w:rsid w:val="00C55337"/>
    <w:rsid w:val="00C61E57"/>
    <w:rsid w:val="00C701ED"/>
    <w:rsid w:val="00C721DD"/>
    <w:rsid w:val="00C76451"/>
    <w:rsid w:val="00C769F1"/>
    <w:rsid w:val="00C825E7"/>
    <w:rsid w:val="00C85156"/>
    <w:rsid w:val="00C9249A"/>
    <w:rsid w:val="00CA5E17"/>
    <w:rsid w:val="00CA6822"/>
    <w:rsid w:val="00CB7485"/>
    <w:rsid w:val="00CC31DF"/>
    <w:rsid w:val="00CD5EE8"/>
    <w:rsid w:val="00CE7604"/>
    <w:rsid w:val="00CF632C"/>
    <w:rsid w:val="00D157D1"/>
    <w:rsid w:val="00D22D05"/>
    <w:rsid w:val="00D354B7"/>
    <w:rsid w:val="00D36718"/>
    <w:rsid w:val="00D375F1"/>
    <w:rsid w:val="00D5798A"/>
    <w:rsid w:val="00D66AF4"/>
    <w:rsid w:val="00D86F82"/>
    <w:rsid w:val="00D93212"/>
    <w:rsid w:val="00DA3B37"/>
    <w:rsid w:val="00DB531C"/>
    <w:rsid w:val="00DB6306"/>
    <w:rsid w:val="00DC6470"/>
    <w:rsid w:val="00DD7478"/>
    <w:rsid w:val="00DE13EA"/>
    <w:rsid w:val="00DF3F6D"/>
    <w:rsid w:val="00DF7C4B"/>
    <w:rsid w:val="00E00D57"/>
    <w:rsid w:val="00E12FB5"/>
    <w:rsid w:val="00E13138"/>
    <w:rsid w:val="00E21F44"/>
    <w:rsid w:val="00E25269"/>
    <w:rsid w:val="00E25EB6"/>
    <w:rsid w:val="00E36743"/>
    <w:rsid w:val="00E4366B"/>
    <w:rsid w:val="00E43A35"/>
    <w:rsid w:val="00E44F8A"/>
    <w:rsid w:val="00E64E7E"/>
    <w:rsid w:val="00E87231"/>
    <w:rsid w:val="00E96380"/>
    <w:rsid w:val="00E965A1"/>
    <w:rsid w:val="00EB1921"/>
    <w:rsid w:val="00EB6D4A"/>
    <w:rsid w:val="00EC3DD5"/>
    <w:rsid w:val="00EC6EED"/>
    <w:rsid w:val="00EF54D2"/>
    <w:rsid w:val="00F02B1B"/>
    <w:rsid w:val="00F06479"/>
    <w:rsid w:val="00F23EB0"/>
    <w:rsid w:val="00F32775"/>
    <w:rsid w:val="00F44CE8"/>
    <w:rsid w:val="00F52B5D"/>
    <w:rsid w:val="00F62C5F"/>
    <w:rsid w:val="00F92484"/>
    <w:rsid w:val="00FA16B5"/>
    <w:rsid w:val="00FB2832"/>
    <w:rsid w:val="00FB7987"/>
    <w:rsid w:val="00FC06ED"/>
    <w:rsid w:val="00FC4A2B"/>
    <w:rsid w:val="00FC706B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3711BA66"/>
  <w15:docId w15:val="{C4D2B3DB-DB1E-4B8A-87F1-1DBF794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12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9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2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D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488C"/>
    <w:pPr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488C"/>
    <w:rPr>
      <w:rFonts w:ascii="Arial" w:eastAsia="Times New Roman" w:hAnsi="Arial" w:cs="Arial"/>
      <w:b/>
      <w:sz w:val="24"/>
      <w:lang w:eastAsia="en-US"/>
    </w:rPr>
  </w:style>
  <w:style w:type="paragraph" w:customStyle="1" w:styleId="CharCharCharCharCharCharCharChar">
    <w:name w:val="Char Char Char Char Char Char Char Char"/>
    <w:basedOn w:val="Normal"/>
    <w:rsid w:val="004E6157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D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D6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1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26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01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40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68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64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64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37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73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33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1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36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10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1997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46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80336AF95647B3028E8783ACE5B3" ma:contentTypeVersion="12" ma:contentTypeDescription="Create a new document." ma:contentTypeScope="" ma:versionID="c151c9ae2c770eb7ae633d3039e13fb6">
  <xsd:schema xmlns:xsd="http://www.w3.org/2001/XMLSchema" xmlns:xs="http://www.w3.org/2001/XMLSchema" xmlns:p="http://schemas.microsoft.com/office/2006/metadata/properties" xmlns:ns3="27de0dcf-7e4b-46ba-b260-4cfde2c33e74" xmlns:ns4="c6bdeb93-2270-4bf7-9e85-6688a4728aea" targetNamespace="http://schemas.microsoft.com/office/2006/metadata/properties" ma:root="true" ma:fieldsID="c9e93067909a0b0d39e21384983688d8" ns3:_="" ns4:_="">
    <xsd:import namespace="27de0dcf-7e4b-46ba-b260-4cfde2c33e74"/>
    <xsd:import namespace="c6bdeb93-2270-4bf7-9e85-6688a4728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0dcf-7e4b-46ba-b260-4cfde2c3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eb93-2270-4bf7-9e85-6688a47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E8D2-B0DB-40F8-9B12-FE72140E3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B1F3C-56C4-4603-8B53-D458CFBF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e0dcf-7e4b-46ba-b260-4cfde2c33e74"/>
    <ds:schemaRef ds:uri="c6bdeb93-2270-4bf7-9e85-6688a472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45482-E50C-4F90-8F2E-1C99BD17A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095D6-EF3A-4201-8108-602F38B6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11168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Dixson</dc:creator>
  <cp:lastModifiedBy>Alison Atherton</cp:lastModifiedBy>
  <cp:revision>2</cp:revision>
  <cp:lastPrinted>2020-01-03T11:17:00Z</cp:lastPrinted>
  <dcterms:created xsi:type="dcterms:W3CDTF">2021-01-15T10:17:00Z</dcterms:created>
  <dcterms:modified xsi:type="dcterms:W3CDTF">2021-01-15T10:17:00Z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0x010100004080336AF95647B3028E8783ACE5B3</vt:lpwstr>
  </property>
</Properties>
</file>